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C104E">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9bis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502730</w:t>
      </w:r>
      <w:bookmarkStart w:id="0" w:name="_GoBack"/>
      <w:bookmarkEnd w:id="0"/>
    </w:p>
    <w:p w14:paraId="66A15FEE">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Wuhan, China, 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-11</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 2025</w:t>
      </w:r>
    </w:p>
    <w:p w14:paraId="5B5BC2C6">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83F8DDE">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1.3</w:t>
      </w:r>
    </w:p>
    <w:p w14:paraId="5BD6B871">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AD873E8">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 side data collection</w:t>
      </w:r>
    </w:p>
    <w:p w14:paraId="6A96620B">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2DCC0A67">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C06AE45">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7ACBE923">
      <w:pPr>
        <w:widowControl/>
        <w:spacing w:after="180"/>
        <w:rPr>
          <w:rFonts w:hint="eastAsia" w:ascii="Arial" w:hAnsi="Arial" w:eastAsia="宋体" w:cs="Arial"/>
          <w:kern w:val="0"/>
          <w:sz w:val="20"/>
          <w:szCs w:val="20"/>
          <w:lang w:val="en-US" w:eastAsia="zh-CN"/>
        </w:rPr>
      </w:pPr>
      <w:r>
        <w:rPr>
          <w:rFonts w:hint="eastAsia" w:ascii="Arial" w:hAnsi="Arial" w:cs="Arial"/>
          <w:sz w:val="20"/>
          <w:szCs w:val="20"/>
          <w:lang w:val="en-US" w:eastAsia="zh-CN"/>
        </w:rPr>
        <w:t>In last meeting [1], RAN2 discussed the NW side data collection and achieved the following agreements</w:t>
      </w:r>
      <w:r>
        <w:rPr>
          <w:rFonts w:hint="eastAsia" w:ascii="Arial" w:hAnsi="Arial" w:cs="Arial"/>
          <w:sz w:val="20"/>
          <w:szCs w:val="20"/>
        </w:rPr>
        <w:t>.</w:t>
      </w:r>
    </w:p>
    <w:p w14:paraId="4C1E0451">
      <w:pPr>
        <w:pStyle w:val="26"/>
        <w:pBdr>
          <w:top w:val="single" w:color="auto" w:sz="4" w:space="1"/>
          <w:left w:val="single" w:color="auto" w:sz="4" w:space="4"/>
          <w:bottom w:val="single" w:color="auto" w:sz="4" w:space="1"/>
          <w:right w:val="single" w:color="auto" w:sz="4" w:space="4"/>
        </w:pBdr>
        <w:rPr>
          <w:rStyle w:val="34"/>
          <w:rFonts w:hint="default" w:ascii="Arial" w:hAnsi="Arial" w:cs="Arial"/>
          <w:b/>
          <w:bCs/>
          <w:sz w:val="20"/>
          <w:szCs w:val="22"/>
        </w:rPr>
      </w:pPr>
      <w:r>
        <w:rPr>
          <w:rStyle w:val="34"/>
          <w:rFonts w:hint="default" w:ascii="Arial" w:hAnsi="Arial" w:cs="Arial"/>
          <w:b/>
          <w:bCs/>
          <w:sz w:val="20"/>
          <w:szCs w:val="22"/>
        </w:rPr>
        <w:t>All agreements for NW side data collection</w:t>
      </w:r>
    </w:p>
    <w:p w14:paraId="2DE9AE55">
      <w:pPr>
        <w:pStyle w:val="33"/>
        <w:numPr>
          <w:ilvl w:val="0"/>
          <w:numId w:val="6"/>
        </w:numPr>
        <w:pBdr>
          <w:top w:val="single" w:color="auto" w:sz="4" w:space="1"/>
          <w:left w:val="single" w:color="auto" w:sz="4" w:space="4"/>
          <w:bottom w:val="single" w:color="auto" w:sz="4" w:space="1"/>
          <w:right w:val="single" w:color="auto" w:sz="4" w:space="4"/>
        </w:pBdr>
        <w:tabs>
          <w:tab w:val="left" w:pos="1352"/>
        </w:tabs>
        <w:rPr>
          <w:rFonts w:hint="default" w:ascii="Arial" w:hAnsi="Arial" w:cs="Arial"/>
          <w:b w:val="0"/>
          <w:bCs/>
          <w:sz w:val="20"/>
          <w:szCs w:val="21"/>
        </w:rPr>
      </w:pPr>
      <w:r>
        <w:rPr>
          <w:rFonts w:hint="default" w:ascii="Arial" w:hAnsi="Arial" w:cs="Arial"/>
          <w:b w:val="0"/>
          <w:bCs/>
          <w:sz w:val="20"/>
          <w:szCs w:val="21"/>
        </w:rPr>
        <w:t xml:space="preserve">Support the use of L3 measurement event triggered (i.e. L3 serving cell measurements becoming worse/better than a threshold for TTT) to determine whether the UE performs logging or not.  L1 measurement event triggered will not be supported.   </w:t>
      </w:r>
      <w:r>
        <w:rPr>
          <w:rFonts w:hint="default" w:ascii="Arial" w:hAnsi="Arial" w:cs="Arial"/>
          <w:b w:val="0"/>
          <w:bCs/>
          <w:sz w:val="20"/>
          <w:szCs w:val="21"/>
          <w:highlight w:val="none"/>
        </w:rPr>
        <w:t xml:space="preserve"> FFS what to log</w:t>
      </w:r>
    </w:p>
    <w:p w14:paraId="56ACEAB3">
      <w:pPr>
        <w:pStyle w:val="33"/>
        <w:numPr>
          <w:ilvl w:val="0"/>
          <w:numId w:val="6"/>
        </w:numPr>
        <w:pBdr>
          <w:top w:val="single" w:color="auto" w:sz="4" w:space="1"/>
          <w:left w:val="single" w:color="auto" w:sz="4" w:space="4"/>
          <w:bottom w:val="single" w:color="auto" w:sz="4" w:space="1"/>
          <w:right w:val="single" w:color="auto" w:sz="4" w:space="4"/>
        </w:pBdr>
        <w:tabs>
          <w:tab w:val="left" w:pos="1352"/>
        </w:tabs>
        <w:rPr>
          <w:rFonts w:hint="default" w:ascii="Arial" w:hAnsi="Arial" w:cs="Arial"/>
          <w:b w:val="0"/>
          <w:bCs/>
          <w:sz w:val="20"/>
          <w:szCs w:val="21"/>
        </w:rPr>
      </w:pPr>
      <w:r>
        <w:rPr>
          <w:rFonts w:hint="default" w:ascii="Arial" w:hAnsi="Arial" w:cs="Arial"/>
          <w:b w:val="0"/>
          <w:bCs/>
          <w:sz w:val="20"/>
          <w:szCs w:val="21"/>
        </w:rPr>
        <w:t>Low power bit indication is supported</w:t>
      </w:r>
    </w:p>
    <w:p w14:paraId="21CA3B94">
      <w:pPr>
        <w:pStyle w:val="33"/>
        <w:numPr>
          <w:ilvl w:val="0"/>
          <w:numId w:val="6"/>
        </w:numPr>
        <w:pBdr>
          <w:top w:val="single" w:color="auto" w:sz="4" w:space="1"/>
          <w:left w:val="single" w:color="auto" w:sz="4" w:space="4"/>
          <w:bottom w:val="single" w:color="auto" w:sz="4" w:space="1"/>
          <w:right w:val="single" w:color="auto" w:sz="4" w:space="4"/>
        </w:pBdr>
        <w:tabs>
          <w:tab w:val="left" w:pos="1352"/>
        </w:tabs>
        <w:rPr>
          <w:rFonts w:hint="default" w:ascii="Arial" w:hAnsi="Arial" w:cs="Arial"/>
          <w:b w:val="0"/>
          <w:bCs/>
          <w:sz w:val="20"/>
          <w:szCs w:val="21"/>
        </w:rPr>
      </w:pPr>
      <w:r>
        <w:rPr>
          <w:rFonts w:hint="default" w:ascii="Arial" w:hAnsi="Arial" w:cs="Arial"/>
          <w:b w:val="0"/>
          <w:bCs/>
          <w:sz w:val="20"/>
          <w:szCs w:val="21"/>
        </w:rPr>
        <w:t>Data availability indication is supported.  FFS when this would be triggered</w:t>
      </w:r>
      <w:r>
        <w:rPr>
          <w:rFonts w:hint="default" w:ascii="Arial" w:hAnsi="Arial" w:eastAsia="宋体" w:cs="Arial"/>
          <w:b w:val="0"/>
          <w:bCs/>
          <w:sz w:val="20"/>
          <w:szCs w:val="21"/>
          <w:lang w:val="en-US" w:eastAsia="zh-CN"/>
        </w:rPr>
        <w:t xml:space="preserve"> </w:t>
      </w:r>
    </w:p>
    <w:p w14:paraId="06FA64B1">
      <w:pPr>
        <w:pStyle w:val="33"/>
        <w:numPr>
          <w:ilvl w:val="0"/>
          <w:numId w:val="6"/>
        </w:numPr>
        <w:pBdr>
          <w:top w:val="single" w:color="auto" w:sz="4" w:space="1"/>
          <w:left w:val="single" w:color="auto" w:sz="4" w:space="4"/>
          <w:bottom w:val="single" w:color="auto" w:sz="4" w:space="1"/>
          <w:right w:val="single" w:color="auto" w:sz="4" w:space="4"/>
        </w:pBdr>
        <w:tabs>
          <w:tab w:val="left" w:pos="1352"/>
        </w:tabs>
        <w:rPr>
          <w:rFonts w:hint="default" w:ascii="Arial" w:hAnsi="Arial" w:cs="Arial"/>
          <w:b w:val="0"/>
          <w:bCs/>
          <w:sz w:val="20"/>
          <w:szCs w:val="21"/>
        </w:rPr>
      </w:pPr>
      <w:r>
        <w:rPr>
          <w:rFonts w:hint="default" w:ascii="Arial" w:hAnsi="Arial" w:cs="Arial"/>
          <w:b w:val="0"/>
          <w:bCs/>
          <w:sz w:val="20"/>
          <w:szCs w:val="21"/>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20C4690B">
      <w:pPr>
        <w:pStyle w:val="33"/>
        <w:numPr>
          <w:ilvl w:val="0"/>
          <w:numId w:val="6"/>
        </w:numPr>
        <w:pBdr>
          <w:top w:val="single" w:color="auto" w:sz="4" w:space="1"/>
          <w:left w:val="single" w:color="auto" w:sz="4" w:space="4"/>
          <w:bottom w:val="single" w:color="auto" w:sz="4" w:space="1"/>
          <w:right w:val="single" w:color="auto" w:sz="4" w:space="4"/>
        </w:pBdr>
        <w:tabs>
          <w:tab w:val="left" w:pos="1352"/>
        </w:tabs>
        <w:rPr>
          <w:rFonts w:hint="default" w:ascii="Arial" w:hAnsi="Arial" w:cs="Arial"/>
          <w:b w:val="0"/>
          <w:bCs/>
          <w:sz w:val="20"/>
          <w:szCs w:val="21"/>
        </w:rPr>
      </w:pPr>
      <w:r>
        <w:rPr>
          <w:rFonts w:hint="default" w:ascii="Arial" w:hAnsi="Arial" w:cs="Arial"/>
          <w:b w:val="0"/>
          <w:bCs/>
          <w:sz w:val="20"/>
          <w:szCs w:val="21"/>
        </w:rPr>
        <w:t>UE retains logged data during handover (HO).  FFS if there is scenarios where the UE needs to release the data and how does the UE know and if control from network is needed</w:t>
      </w:r>
    </w:p>
    <w:p w14:paraId="458D58C5">
      <w:pPr>
        <w:pStyle w:val="33"/>
        <w:numPr>
          <w:ilvl w:val="0"/>
          <w:numId w:val="6"/>
        </w:numPr>
        <w:pBdr>
          <w:top w:val="single" w:color="auto" w:sz="4" w:space="1"/>
          <w:left w:val="single" w:color="auto" w:sz="4" w:space="4"/>
          <w:bottom w:val="single" w:color="auto" w:sz="4" w:space="1"/>
          <w:right w:val="single" w:color="auto" w:sz="4" w:space="4"/>
        </w:pBdr>
        <w:tabs>
          <w:tab w:val="left" w:pos="1352"/>
        </w:tabs>
        <w:rPr>
          <w:rFonts w:hint="default" w:ascii="Arial" w:hAnsi="Arial" w:cs="Arial"/>
          <w:b w:val="0"/>
          <w:bCs/>
          <w:sz w:val="20"/>
          <w:szCs w:val="21"/>
        </w:rPr>
      </w:pPr>
      <w:r>
        <w:rPr>
          <w:rFonts w:hint="default" w:ascii="Arial" w:hAnsi="Arial" w:cs="Arial"/>
          <w:b w:val="0"/>
          <w:bCs/>
          <w:sz w:val="20"/>
          <w:szCs w:val="21"/>
        </w:rPr>
        <w:t>UE indicates availability of logged data during handover (i.e., within the RRCReconfigurationComplete message) (if data is retained in the UE).</w:t>
      </w:r>
    </w:p>
    <w:p w14:paraId="7E4FD996">
      <w:pPr>
        <w:pStyle w:val="33"/>
        <w:numPr>
          <w:ilvl w:val="0"/>
          <w:numId w:val="6"/>
        </w:numPr>
        <w:pBdr>
          <w:top w:val="single" w:color="auto" w:sz="4" w:space="1"/>
          <w:left w:val="single" w:color="auto" w:sz="4" w:space="4"/>
          <w:bottom w:val="single" w:color="auto" w:sz="4" w:space="1"/>
          <w:right w:val="single" w:color="auto" w:sz="4" w:space="4"/>
        </w:pBdr>
        <w:tabs>
          <w:tab w:val="left" w:pos="1352"/>
        </w:tabs>
        <w:rPr>
          <w:rFonts w:hint="default" w:ascii="Arial" w:hAnsi="Arial" w:eastAsia="宋体" w:cs="Arial"/>
          <w:kern w:val="0"/>
          <w:sz w:val="20"/>
          <w:szCs w:val="20"/>
          <w:lang w:val="en-US" w:eastAsia="zh-CN"/>
        </w:rPr>
      </w:pPr>
      <w:r>
        <w:rPr>
          <w:rFonts w:hint="default" w:ascii="Arial" w:hAnsi="Arial" w:cs="Arial"/>
          <w:b w:val="0"/>
          <w:bCs/>
          <w:sz w:val="20"/>
          <w:szCs w:val="20"/>
        </w:rPr>
        <w:t>FFS how to handle idle/inactive and RLF cases and whether we have a unified.</w:t>
      </w:r>
      <w:r>
        <w:rPr>
          <w:rFonts w:hint="default" w:ascii="Arial" w:hAnsi="Arial" w:cs="Arial"/>
          <w:sz w:val="20"/>
          <w:szCs w:val="20"/>
        </w:rPr>
        <w:t xml:space="preserve"> </w:t>
      </w:r>
      <w:r>
        <w:rPr>
          <w:rFonts w:hint="default" w:ascii="Arial" w:hAnsi="Arial" w:cs="Arial"/>
          <w:b w:val="0"/>
          <w:bCs/>
          <w:sz w:val="20"/>
          <w:szCs w:val="20"/>
        </w:rPr>
        <w:t xml:space="preserve"> </w:t>
      </w:r>
    </w:p>
    <w:p w14:paraId="4B173D91">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lang w:val="en-US" w:eastAsia="zh-CN"/>
        </w:rPr>
        <w:t>discuss</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the remaining issues for NW side data collection</w:t>
      </w:r>
      <w:r>
        <w:rPr>
          <w:rFonts w:ascii="Arial" w:hAnsi="Arial" w:eastAsia="宋体" w:cs="Arial"/>
          <w:kern w:val="0"/>
          <w:sz w:val="20"/>
          <w:szCs w:val="20"/>
          <w:lang w:val="en-GB"/>
        </w:rPr>
        <w:t>.</w:t>
      </w:r>
    </w:p>
    <w:p w14:paraId="385CCF9D">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03BE3FD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NW side data collection for beam management</w:t>
      </w:r>
    </w:p>
    <w:p w14:paraId="2421086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Issue#1: FFS on data availability indication reporting</w:t>
      </w:r>
    </w:p>
    <w:p w14:paraId="45A57AE1">
      <w:pPr>
        <w:numPr>
          <w:ilvl w:val="0"/>
          <w:numId w:val="0"/>
        </w:numPr>
        <w:spacing w:before="120" w:beforeLines="50" w:after="120" w:line="260" w:lineRule="exact"/>
        <w:rPr>
          <w:rFonts w:hint="eastAsia" w:ascii="Arial" w:hAnsi="Arial" w:cs="Arial"/>
          <w:sz w:val="20"/>
          <w:szCs w:val="20"/>
          <w:highlight w:val="none"/>
          <w:lang w:val="en-US" w:eastAsia="zh-CN"/>
        </w:rPr>
      </w:pPr>
      <w:r>
        <w:rPr>
          <w:rFonts w:hint="eastAsia" w:ascii="Arial" w:hAnsi="Arial" w:cs="Arial"/>
          <w:sz w:val="20"/>
          <w:szCs w:val="20"/>
          <w:highlight w:val="none"/>
          <w:lang w:val="en-US" w:eastAsia="zh-CN"/>
        </w:rPr>
        <w:t xml:space="preserve">RAN2 has agreed that when UE reaches its buffer limitation the UE stops measurement for data collection purposes and logging. In last meeting, RAN2 discussed when to report to the network, after or before the buffer is full, but had no consensus. </w:t>
      </w:r>
    </w:p>
    <w:p w14:paraId="74BC9F1C">
      <w:pPr>
        <w:numPr>
          <w:ilvl w:val="0"/>
          <w:numId w:val="0"/>
        </w:numPr>
        <w:spacing w:before="120" w:beforeLines="50" w:after="120" w:line="260" w:lineRule="exact"/>
        <w:rPr>
          <w:rFonts w:hint="eastAsia" w:ascii="Arial" w:hAnsi="Arial" w:cs="Arial"/>
          <w:sz w:val="20"/>
          <w:szCs w:val="20"/>
          <w:highlight w:val="none"/>
          <w:lang w:val="en-US" w:eastAsia="zh-CN"/>
        </w:rPr>
      </w:pPr>
      <w:r>
        <w:rPr>
          <w:rFonts w:hint="eastAsia" w:ascii="Arial" w:hAnsi="Arial" w:cs="Arial"/>
          <w:sz w:val="20"/>
          <w:szCs w:val="20"/>
          <w:highlight w:val="none"/>
          <w:lang w:val="en-US" w:eastAsia="zh-CN"/>
        </w:rPr>
        <w:t xml:space="preserve">Some companies proposed that if the UE can report before the buffer is full, the network could retrieve the collected data by the UE. In this way, the buffer can always maintain available space for data collection, thereby ensuring the continuity of the collected data. </w:t>
      </w:r>
    </w:p>
    <w:p w14:paraId="7482CADD">
      <w:pPr>
        <w:numPr>
          <w:ilvl w:val="0"/>
          <w:numId w:val="0"/>
        </w:numPr>
        <w:spacing w:before="120" w:beforeLines="50" w:after="120" w:line="260" w:lineRule="exact"/>
        <w:rPr>
          <w:rFonts w:hint="eastAsia" w:ascii="Arial" w:hAnsi="Arial" w:cs="Arial"/>
          <w:sz w:val="20"/>
          <w:szCs w:val="20"/>
          <w:highlight w:val="none"/>
          <w:lang w:val="en-US" w:eastAsia="zh-CN"/>
        </w:rPr>
      </w:pPr>
      <w:r>
        <w:rPr>
          <w:rFonts w:hint="eastAsia" w:ascii="Arial" w:hAnsi="Arial" w:cs="Arial"/>
          <w:sz w:val="20"/>
          <w:szCs w:val="20"/>
          <w:highlight w:val="none"/>
          <w:lang w:val="en-US" w:eastAsia="zh-CN"/>
        </w:rPr>
        <w:t>However, we don</w:t>
      </w:r>
      <w:r>
        <w:rPr>
          <w:rFonts w:hint="default" w:ascii="Arial" w:hAnsi="Arial" w:cs="Arial"/>
          <w:sz w:val="20"/>
          <w:szCs w:val="20"/>
          <w:highlight w:val="none"/>
          <w:lang w:val="en-US" w:eastAsia="zh-CN"/>
        </w:rPr>
        <w:t>’</w:t>
      </w:r>
      <w:r>
        <w:rPr>
          <w:rFonts w:hint="eastAsia" w:ascii="Arial" w:hAnsi="Arial" w:cs="Arial"/>
          <w:sz w:val="20"/>
          <w:szCs w:val="20"/>
          <w:highlight w:val="none"/>
          <w:lang w:val="en-US" w:eastAsia="zh-CN"/>
        </w:rPr>
        <w:t xml:space="preserve">t think this is a valid motivation. In our understanding, even if the UE reports before the buffer is full, the network may not retrieve the data immediately upon receiving the UE reporting, since the latency requirements on data collection for model training is relaxed. Consequently, it is possible that when the network requests the UE to report collected data, the UE's buffer is already full, and the UE has stopped collecting data. In this case, the data collection process will still be interrupted and the collected data is discontinuous. </w:t>
      </w:r>
    </w:p>
    <w:p w14:paraId="085E6839">
      <w:pPr>
        <w:numPr>
          <w:ilvl w:val="0"/>
          <w:numId w:val="0"/>
        </w:numPr>
        <w:spacing w:before="120" w:beforeLines="50" w:after="120" w:line="260" w:lineRule="exact"/>
        <w:rPr>
          <w:rFonts w:hint="default" w:ascii="Arial" w:hAnsi="Arial" w:cs="Arial"/>
          <w:b/>
          <w:bCs/>
          <w:sz w:val="20"/>
          <w:szCs w:val="20"/>
          <w:highlight w:val="none"/>
          <w:lang w:val="en-US" w:eastAsia="zh-CN"/>
        </w:rPr>
      </w:pPr>
      <w:r>
        <w:rPr>
          <w:rFonts w:hint="eastAsia" w:ascii="Arial" w:hAnsi="Arial" w:cs="Arial"/>
          <w:b/>
          <w:bCs/>
          <w:sz w:val="20"/>
          <w:szCs w:val="20"/>
          <w:highlight w:val="none"/>
          <w:lang w:val="en-US" w:eastAsia="zh-CN"/>
        </w:rPr>
        <w:t>Observation 1: Considering the latency requirements on data collection for model training is relaxed, the network may not retrieve the data immediately upon receiving the data availability indication. Therefore, if the network delays retrieval, the data collection may be stopped because the buffer is full.</w:t>
      </w:r>
    </w:p>
    <w:p w14:paraId="70D6FF45">
      <w:pPr>
        <w:numPr>
          <w:ilvl w:val="0"/>
          <w:numId w:val="0"/>
        </w:numPr>
        <w:spacing w:before="120" w:beforeLines="50" w:after="120" w:line="260" w:lineRule="exact"/>
        <w:rPr>
          <w:rFonts w:hint="eastAsia" w:ascii="Arial" w:hAnsi="Arial" w:cs="Arial"/>
          <w:sz w:val="20"/>
          <w:szCs w:val="20"/>
          <w:highlight w:val="none"/>
          <w:lang w:val="en-US" w:eastAsia="zh-CN"/>
        </w:rPr>
      </w:pPr>
      <w:r>
        <w:rPr>
          <w:rFonts w:hint="eastAsia" w:ascii="Arial" w:hAnsi="Arial" w:cs="Arial"/>
          <w:sz w:val="20"/>
          <w:szCs w:val="20"/>
          <w:highlight w:val="none"/>
          <w:lang w:val="en-US" w:eastAsia="zh-CN"/>
        </w:rPr>
        <w:t>On the other hand, given the UE</w:t>
      </w:r>
      <w:r>
        <w:rPr>
          <w:rFonts w:hint="default" w:ascii="Arial" w:hAnsi="Arial" w:cs="Arial"/>
          <w:sz w:val="20"/>
          <w:szCs w:val="20"/>
          <w:highlight w:val="none"/>
          <w:lang w:val="en-US" w:eastAsia="zh-CN"/>
        </w:rPr>
        <w:t>’</w:t>
      </w:r>
      <w:r>
        <w:rPr>
          <w:rFonts w:hint="eastAsia" w:ascii="Arial" w:hAnsi="Arial" w:cs="Arial"/>
          <w:sz w:val="20"/>
          <w:szCs w:val="20"/>
          <w:highlight w:val="none"/>
          <w:lang w:val="en-US" w:eastAsia="zh-CN"/>
        </w:rPr>
        <w:t xml:space="preserve">s power constraints, continuous data collection cannot be maintained all the time for a certain UE, thus the data interruption is unavoidable. However, the network can collect data from multiple UEs. And the network can aggregate the data from multiple UEs to construct a time-continuous dataset. </w:t>
      </w:r>
    </w:p>
    <w:p w14:paraId="35CB8DE6">
      <w:pPr>
        <w:numPr>
          <w:ilvl w:val="0"/>
          <w:numId w:val="0"/>
        </w:numPr>
        <w:spacing w:before="120" w:beforeLines="50" w:after="120" w:line="260" w:lineRule="exact"/>
        <w:rPr>
          <w:rFonts w:hint="default" w:ascii="Arial" w:hAnsi="Arial" w:cs="Arial"/>
          <w:b/>
          <w:bCs/>
          <w:sz w:val="20"/>
          <w:szCs w:val="20"/>
          <w:highlight w:val="none"/>
          <w:lang w:val="en-US" w:eastAsia="zh-CN"/>
        </w:rPr>
      </w:pPr>
      <w:r>
        <w:rPr>
          <w:rFonts w:hint="eastAsia" w:ascii="Arial" w:hAnsi="Arial" w:cs="Arial"/>
          <w:b/>
          <w:bCs/>
          <w:sz w:val="20"/>
          <w:szCs w:val="20"/>
          <w:highlight w:val="none"/>
          <w:lang w:val="en-US" w:eastAsia="zh-CN"/>
        </w:rPr>
        <w:t>Observation 2: Given the UE's power constraints, continuous data collection is not feasible and interruption is unavoidable, but the network can aggregate data from multiple UEs to construct a time-continuous dataset.</w:t>
      </w:r>
    </w:p>
    <w:p w14:paraId="30EFBAEE">
      <w:pPr>
        <w:numPr>
          <w:ilvl w:val="0"/>
          <w:numId w:val="0"/>
        </w:numPr>
        <w:spacing w:before="120" w:beforeLines="50" w:after="120" w:line="260" w:lineRule="exact"/>
        <w:rPr>
          <w:rFonts w:hint="default" w:ascii="Arial" w:hAnsi="Arial" w:cs="Arial"/>
          <w:sz w:val="20"/>
          <w:szCs w:val="20"/>
          <w:highlight w:val="none"/>
          <w:lang w:val="en-US" w:eastAsia="zh-CN"/>
        </w:rPr>
      </w:pPr>
      <w:r>
        <w:rPr>
          <w:rFonts w:hint="eastAsia" w:ascii="Arial" w:hAnsi="Arial" w:cs="Arial"/>
          <w:sz w:val="20"/>
          <w:szCs w:val="20"/>
          <w:highlight w:val="none"/>
          <w:lang w:val="en-US" w:eastAsia="zh-CN"/>
        </w:rPr>
        <w:t xml:space="preserve">Based on the above analysis, we think the data availability indication can be reported to the network </w:t>
      </w:r>
      <w:r>
        <w:rPr>
          <w:rFonts w:hint="eastAsia" w:ascii="Arial" w:hAnsi="Arial" w:cs="Arial"/>
          <w:sz w:val="20"/>
          <w:szCs w:val="20"/>
          <w:lang w:val="en-US" w:eastAsia="zh-CN"/>
        </w:rPr>
        <w:t>after the buffer is full. And this will not introduce additional impacts on UE power consumption since the measurement is stopped.</w:t>
      </w:r>
    </w:p>
    <w:p w14:paraId="1D0F3BDE">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1: The data availability indication can be reported to the network after the buffer is full.</w:t>
      </w:r>
    </w:p>
    <w:p w14:paraId="50E0FFD1">
      <w:pPr>
        <w:numPr>
          <w:ilvl w:val="0"/>
          <w:numId w:val="0"/>
        </w:numPr>
        <w:spacing w:before="120" w:beforeLines="50" w:after="120" w:line="260" w:lineRule="exact"/>
        <w:rPr>
          <w:rFonts w:hint="default" w:ascii="Arial" w:hAnsi="Arial" w:eastAsia="宋体" w:cs="Arial"/>
          <w:b w:val="0"/>
          <w:bCs/>
          <w:sz w:val="20"/>
          <w:szCs w:val="21"/>
          <w:lang w:val="en-US" w:eastAsia="zh-CN"/>
        </w:rPr>
      </w:pPr>
      <w:r>
        <w:rPr>
          <w:rFonts w:hint="default" w:ascii="Arial" w:hAnsi="Arial" w:eastAsia="宋体" w:cs="Arial"/>
          <w:b w:val="0"/>
          <w:bCs/>
          <w:sz w:val="20"/>
          <w:szCs w:val="21"/>
          <w:lang w:eastAsia="zh-CN"/>
        </w:rPr>
        <w:t>In legacy logged MDT, the UE can indicate the</w:t>
      </w:r>
      <w:r>
        <w:rPr>
          <w:rFonts w:hint="default" w:ascii="Arial" w:hAnsi="Arial" w:eastAsia="宋体" w:cs="Arial"/>
          <w:b w:val="0"/>
          <w:bCs/>
          <w:sz w:val="20"/>
          <w:szCs w:val="21"/>
          <w:lang w:val="en-US" w:eastAsia="zh-CN"/>
        </w:rPr>
        <w:t xml:space="preserve"> available measurements via </w:t>
      </w:r>
      <w:r>
        <w:rPr>
          <w:rFonts w:hint="default" w:ascii="Arial" w:hAnsi="Arial" w:eastAsia="宋体" w:cs="Arial"/>
          <w:b w:val="0"/>
          <w:bCs/>
          <w:i/>
          <w:iCs/>
          <w:sz w:val="20"/>
          <w:szCs w:val="21"/>
          <w:lang w:val="en-US" w:eastAsia="zh-CN"/>
        </w:rPr>
        <w:t>UE-measurementAvailable</w:t>
      </w:r>
      <w:r>
        <w:rPr>
          <w:rFonts w:hint="eastAsia" w:ascii="Arial" w:hAnsi="Arial" w:eastAsia="宋体" w:cs="Arial"/>
          <w:b w:val="0"/>
          <w:bCs/>
          <w:i/>
          <w:iCs/>
          <w:sz w:val="20"/>
          <w:szCs w:val="21"/>
          <w:lang w:val="en-US" w:eastAsia="zh-CN"/>
        </w:rPr>
        <w:t xml:space="preserve"> </w:t>
      </w:r>
      <w:r>
        <w:rPr>
          <w:rFonts w:hint="eastAsia" w:ascii="Arial" w:hAnsi="Arial" w:eastAsia="宋体" w:cs="Arial"/>
          <w:b w:val="0"/>
          <w:bCs/>
          <w:i w:val="0"/>
          <w:iCs w:val="0"/>
          <w:sz w:val="20"/>
          <w:szCs w:val="21"/>
          <w:lang w:val="en-US" w:eastAsia="zh-CN"/>
        </w:rPr>
        <w:t>[2]</w:t>
      </w:r>
      <w:r>
        <w:rPr>
          <w:rFonts w:hint="default" w:ascii="Arial" w:hAnsi="Arial" w:eastAsia="宋体" w:cs="Arial"/>
          <w:b w:val="0"/>
          <w:bCs/>
          <w:i w:val="0"/>
          <w:iCs w:val="0"/>
          <w:sz w:val="20"/>
          <w:szCs w:val="21"/>
          <w:lang w:eastAsia="zh-CN"/>
        </w:rPr>
        <w:t xml:space="preserve"> </w:t>
      </w:r>
      <w:r>
        <w:rPr>
          <w:rFonts w:hint="default" w:ascii="Arial" w:hAnsi="Arial" w:eastAsia="宋体" w:cs="Arial"/>
          <w:b w:val="0"/>
          <w:bCs/>
          <w:sz w:val="20"/>
          <w:szCs w:val="21"/>
          <w:lang w:eastAsia="zh-CN"/>
        </w:rPr>
        <w:t xml:space="preserve">in msg5, e.g. </w:t>
      </w:r>
      <w:r>
        <w:rPr>
          <w:rFonts w:hint="default" w:ascii="Arial" w:hAnsi="Arial" w:eastAsia="宋体" w:cs="Arial"/>
          <w:b w:val="0"/>
          <w:bCs/>
          <w:i/>
          <w:iCs/>
          <w:sz w:val="20"/>
          <w:szCs w:val="21"/>
          <w:lang w:eastAsia="zh-CN"/>
        </w:rPr>
        <w:t>RRCSetupComplete</w:t>
      </w:r>
      <w:r>
        <w:rPr>
          <w:rFonts w:hint="default" w:ascii="Arial" w:hAnsi="Arial" w:eastAsia="宋体" w:cs="Arial"/>
          <w:b w:val="0"/>
          <w:bCs/>
          <w:sz w:val="20"/>
          <w:szCs w:val="21"/>
          <w:lang w:eastAsia="zh-CN"/>
        </w:rPr>
        <w:t xml:space="preserve">, </w:t>
      </w:r>
      <w:r>
        <w:rPr>
          <w:rFonts w:hint="default" w:ascii="Arial" w:hAnsi="Arial" w:eastAsia="宋体" w:cs="Arial"/>
          <w:b w:val="0"/>
          <w:bCs/>
          <w:i/>
          <w:iCs/>
          <w:sz w:val="20"/>
          <w:szCs w:val="21"/>
          <w:lang w:eastAsia="zh-CN"/>
        </w:rPr>
        <w:t>RRCResumeComplete</w:t>
      </w:r>
      <w:r>
        <w:rPr>
          <w:rFonts w:hint="default" w:ascii="Arial" w:hAnsi="Arial" w:eastAsia="宋体" w:cs="Arial"/>
          <w:b w:val="0"/>
          <w:bCs/>
          <w:sz w:val="20"/>
          <w:szCs w:val="21"/>
          <w:lang w:eastAsia="zh-CN"/>
        </w:rPr>
        <w:t xml:space="preserve">, </w:t>
      </w:r>
      <w:r>
        <w:rPr>
          <w:rFonts w:hint="default" w:ascii="Arial" w:hAnsi="Arial" w:eastAsia="宋体" w:cs="Arial"/>
          <w:b w:val="0"/>
          <w:bCs/>
          <w:i/>
          <w:iCs/>
          <w:sz w:val="20"/>
          <w:szCs w:val="21"/>
          <w:lang w:eastAsia="zh-CN"/>
        </w:rPr>
        <w:t>RRC</w:t>
      </w:r>
      <w:r>
        <w:rPr>
          <w:rFonts w:hint="default" w:ascii="Arial" w:hAnsi="Arial" w:eastAsia="宋体" w:cs="Arial"/>
          <w:b w:val="0"/>
          <w:bCs/>
          <w:i/>
          <w:iCs/>
          <w:sz w:val="20"/>
          <w:szCs w:val="21"/>
          <w:lang w:val="en-US" w:eastAsia="zh-CN"/>
        </w:rPr>
        <w:t xml:space="preserve">ReestablishComplete </w:t>
      </w:r>
      <w:r>
        <w:rPr>
          <w:rFonts w:hint="default" w:ascii="Arial" w:hAnsi="Arial" w:eastAsia="宋体" w:cs="Arial"/>
          <w:b w:val="0"/>
          <w:bCs/>
          <w:sz w:val="20"/>
          <w:szCs w:val="21"/>
          <w:lang w:val="en-US" w:eastAsia="zh-CN"/>
        </w:rPr>
        <w:t>message.</w:t>
      </w:r>
    </w:p>
    <w:p w14:paraId="68F11916">
      <w:pPr>
        <w:numPr>
          <w:ilvl w:val="0"/>
          <w:numId w:val="0"/>
        </w:numPr>
        <w:spacing w:before="120" w:beforeLines="50" w:after="120" w:line="240" w:lineRule="auto"/>
        <w:rPr>
          <w:rFonts w:hint="eastAsia" w:eastAsia="宋体"/>
          <w:b w:val="0"/>
          <w:bCs/>
          <w:lang w:val="en-US" w:eastAsia="zh-CN"/>
        </w:rPr>
      </w:pPr>
      <w:r>
        <w:drawing>
          <wp:inline distT="0" distB="0" distL="114300" distR="114300">
            <wp:extent cx="6118860" cy="2457450"/>
            <wp:effectExtent l="0" t="0" r="571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4"/>
                    <a:stretch>
                      <a:fillRect/>
                    </a:stretch>
                  </pic:blipFill>
                  <pic:spPr>
                    <a:xfrm>
                      <a:off x="0" y="0"/>
                      <a:ext cx="6118860" cy="2457450"/>
                    </a:xfrm>
                    <a:prstGeom prst="rect">
                      <a:avLst/>
                    </a:prstGeom>
                    <a:noFill/>
                    <a:ln>
                      <a:noFill/>
                    </a:ln>
                  </pic:spPr>
                </pic:pic>
              </a:graphicData>
            </a:graphic>
          </wp:inline>
        </w:drawing>
      </w:r>
    </w:p>
    <w:p w14:paraId="455F7F1B">
      <w:pPr>
        <w:numPr>
          <w:ilvl w:val="0"/>
          <w:numId w:val="0"/>
        </w:numPr>
        <w:spacing w:before="120" w:beforeLines="50" w:after="120" w:line="260" w:lineRule="exact"/>
        <w:rPr>
          <w:rFonts w:hint="eastAsia" w:ascii="Arial" w:hAnsi="Arial" w:eastAsia="宋体" w:cs="Arial"/>
          <w:b w:val="0"/>
          <w:bCs/>
          <w:sz w:val="20"/>
          <w:szCs w:val="21"/>
          <w:lang w:val="en-US" w:eastAsia="zh-CN"/>
        </w:rPr>
      </w:pPr>
      <w:r>
        <w:rPr>
          <w:rFonts w:hint="eastAsia" w:ascii="Arial" w:hAnsi="Arial" w:eastAsia="宋体" w:cs="Arial"/>
          <w:b w:val="0"/>
          <w:bCs/>
          <w:sz w:val="20"/>
          <w:szCs w:val="21"/>
          <w:lang w:val="en-US" w:eastAsia="zh-CN"/>
        </w:rPr>
        <w:t>For NW data collection for AI/ML, considering the UE keeps in connected mode, msg5 is not applicable for data availability indication reporting. We think UAI can be used to send the data availability indication to the network.</w:t>
      </w:r>
    </w:p>
    <w:p w14:paraId="3E07BFAE">
      <w:pPr>
        <w:numPr>
          <w:ilvl w:val="0"/>
          <w:numId w:val="0"/>
        </w:numPr>
        <w:spacing w:before="120" w:beforeLines="50" w:after="120" w:line="260" w:lineRule="exact"/>
        <w:rPr>
          <w:rFonts w:hint="default" w:ascii="Arial" w:hAnsi="Arial" w:eastAsia="宋体" w:cs="Arial"/>
          <w:b/>
          <w:bCs w:val="0"/>
          <w:sz w:val="20"/>
          <w:szCs w:val="21"/>
          <w:lang w:val="en-US" w:eastAsia="zh-CN"/>
        </w:rPr>
      </w:pPr>
      <w:r>
        <w:rPr>
          <w:rFonts w:hint="eastAsia" w:ascii="Arial" w:hAnsi="Arial" w:eastAsia="宋体" w:cs="Arial"/>
          <w:b/>
          <w:bCs w:val="0"/>
          <w:sz w:val="20"/>
          <w:szCs w:val="21"/>
          <w:lang w:val="en-US" w:eastAsia="zh-CN"/>
        </w:rPr>
        <w:t xml:space="preserve">Proposal 2: The data availability indication can be sent to the network via </w:t>
      </w:r>
      <w:r>
        <w:rPr>
          <w:rFonts w:hint="eastAsia" w:ascii="Arial" w:hAnsi="Arial" w:eastAsia="宋体" w:cs="Arial"/>
          <w:b/>
          <w:bCs w:val="0"/>
          <w:i/>
          <w:iCs/>
          <w:sz w:val="20"/>
          <w:szCs w:val="21"/>
          <w:lang w:val="en-US" w:eastAsia="zh-CN"/>
        </w:rPr>
        <w:t xml:space="preserve">UEAssistanceInformation </w:t>
      </w:r>
      <w:r>
        <w:rPr>
          <w:rFonts w:hint="eastAsia" w:ascii="Arial" w:hAnsi="Arial" w:eastAsia="宋体" w:cs="Arial"/>
          <w:b/>
          <w:bCs w:val="0"/>
          <w:sz w:val="20"/>
          <w:szCs w:val="21"/>
          <w:lang w:val="en-US" w:eastAsia="zh-CN"/>
        </w:rPr>
        <w:t>massage.</w:t>
      </w:r>
    </w:p>
    <w:p w14:paraId="6344D298">
      <w:pPr>
        <w:numPr>
          <w:ilvl w:val="0"/>
          <w:numId w:val="0"/>
        </w:numPr>
        <w:spacing w:before="120" w:beforeLines="50" w:after="120" w:line="260" w:lineRule="exact"/>
        <w:rPr>
          <w:rFonts w:hint="default" w:eastAsia="宋体"/>
          <w:b w:val="0"/>
          <w:bCs/>
          <w:lang w:eastAsia="zh-CN"/>
        </w:rPr>
      </w:pPr>
    </w:p>
    <w:p w14:paraId="2A4A791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Issue#2: FFS on time stamp</w:t>
      </w:r>
    </w:p>
    <w:p w14:paraId="1F8090C9">
      <w:pPr>
        <w:numPr>
          <w:ilvl w:val="0"/>
          <w:numId w:val="0"/>
        </w:numPr>
        <w:spacing w:before="120" w:beforeLines="50" w:after="120" w:line="260" w:lineRule="exact"/>
        <w:rPr>
          <w:rFonts w:hint="eastAsia" w:ascii="Arial" w:hAnsi="Arial" w:cs="Arial"/>
          <w:i w:val="0"/>
          <w:iCs w:val="0"/>
          <w:sz w:val="20"/>
          <w:szCs w:val="20"/>
          <w:lang w:val="en-US" w:eastAsia="zh-CN"/>
        </w:rPr>
      </w:pPr>
      <w:r>
        <w:rPr>
          <w:rFonts w:hint="eastAsia" w:ascii="Arial" w:hAnsi="Arial" w:cs="Arial"/>
          <w:i w:val="0"/>
          <w:iCs w:val="0"/>
          <w:sz w:val="20"/>
          <w:szCs w:val="20"/>
          <w:lang w:val="en-US" w:eastAsia="zh-CN"/>
        </w:rPr>
        <w:t xml:space="preserve">In legacy logged MDT reporting, the absolute time info </w:t>
      </w:r>
      <w:r>
        <w:rPr>
          <w:rFonts w:hint="eastAsia" w:ascii="Arial" w:hAnsi="Arial" w:cs="Arial"/>
          <w:i/>
          <w:iCs/>
          <w:sz w:val="20"/>
          <w:szCs w:val="20"/>
          <w:lang w:val="en-US" w:eastAsia="zh-CN"/>
        </w:rPr>
        <w:t xml:space="preserve">absoluteTimeStamp </w:t>
      </w:r>
      <w:r>
        <w:rPr>
          <w:rFonts w:hint="eastAsia" w:ascii="Arial" w:hAnsi="Arial" w:cs="Arial"/>
          <w:i w:val="0"/>
          <w:iCs w:val="0"/>
          <w:sz w:val="20"/>
          <w:szCs w:val="20"/>
          <w:lang w:val="en-US" w:eastAsia="zh-CN"/>
        </w:rPr>
        <w:t xml:space="preserve">(48bits, as specified in [2]) when the logged measurement is provided and the relative time info </w:t>
      </w:r>
      <w:r>
        <w:rPr>
          <w:rFonts w:hint="eastAsia" w:ascii="Arial" w:hAnsi="Arial" w:cs="Arial"/>
          <w:i/>
          <w:iCs/>
          <w:sz w:val="20"/>
          <w:szCs w:val="20"/>
          <w:lang w:val="en-US" w:eastAsia="zh-CN"/>
        </w:rPr>
        <w:t xml:space="preserve">relativeTimeStamp </w:t>
      </w:r>
      <w:r>
        <w:rPr>
          <w:rFonts w:hint="eastAsia" w:ascii="Arial" w:hAnsi="Arial" w:cs="Arial"/>
          <w:i w:val="0"/>
          <w:iCs w:val="0"/>
          <w:sz w:val="20"/>
          <w:szCs w:val="20"/>
          <w:lang w:val="en-US" w:eastAsia="zh-CN"/>
        </w:rPr>
        <w:t>(as specified in [2]) which</w:t>
      </w:r>
      <w:r>
        <w:rPr>
          <w:rFonts w:hint="eastAsia" w:ascii="Arial" w:hAnsi="Arial" w:cs="Arial"/>
          <w:i/>
          <w:iCs/>
          <w:sz w:val="20"/>
          <w:szCs w:val="20"/>
          <w:lang w:val="en-US" w:eastAsia="zh-CN"/>
        </w:rPr>
        <w:t xml:space="preserve"> </w:t>
      </w:r>
      <w:r>
        <w:rPr>
          <w:rFonts w:hint="eastAsia" w:ascii="Arial" w:hAnsi="Arial" w:cs="Arial"/>
          <w:i w:val="0"/>
          <w:iCs w:val="0"/>
          <w:sz w:val="20"/>
          <w:szCs w:val="20"/>
          <w:lang w:val="en-US" w:eastAsia="zh-CN"/>
        </w:rPr>
        <w:t xml:space="preserve">indicates the time of logging measurement results would be included in </w:t>
      </w:r>
      <w:r>
        <w:rPr>
          <w:rFonts w:hint="eastAsia" w:ascii="Arial" w:hAnsi="Arial" w:cs="Arial"/>
          <w:i/>
          <w:iCs/>
          <w:sz w:val="20"/>
          <w:szCs w:val="20"/>
          <w:lang w:val="en-US" w:eastAsia="zh-CN"/>
        </w:rPr>
        <w:t>UEInformationResponse</w:t>
      </w:r>
      <w:r>
        <w:rPr>
          <w:rFonts w:hint="eastAsia" w:ascii="Arial" w:hAnsi="Arial" w:cs="Arial"/>
          <w:i w:val="0"/>
          <w:iCs w:val="0"/>
          <w:sz w:val="20"/>
          <w:szCs w:val="20"/>
          <w:lang w:val="en-US" w:eastAsia="zh-CN"/>
        </w:rPr>
        <w:t xml:space="preserve"> message. </w:t>
      </w:r>
    </w:p>
    <w:p w14:paraId="07E622B7">
      <w:pPr>
        <w:numPr>
          <w:ilvl w:val="0"/>
          <w:numId w:val="0"/>
        </w:numPr>
        <w:spacing w:before="120" w:beforeLines="50" w:after="120" w:line="260" w:lineRule="exact"/>
        <w:rPr>
          <w:rFonts w:hint="default" w:ascii="Arial" w:hAnsi="Arial" w:cs="Arial"/>
          <w:i w:val="0"/>
          <w:iCs w:val="0"/>
          <w:sz w:val="20"/>
          <w:szCs w:val="20"/>
          <w:lang w:val="en-US" w:eastAsia="zh-CN"/>
        </w:rPr>
      </w:pPr>
      <w:r>
        <w:rPr>
          <w:rFonts w:hint="eastAsia" w:ascii="Arial" w:hAnsi="Arial" w:cs="Arial"/>
          <w:i w:val="0"/>
          <w:iCs w:val="0"/>
          <w:sz w:val="20"/>
          <w:szCs w:val="20"/>
          <w:lang w:val="en-US" w:eastAsia="zh-CN"/>
        </w:rPr>
        <w:t>In last meeting, RAN2 discussed to used absolute time stamp and relative time stamp for data collection but has no consensus. Some companies indicated that the network can be aware of the time info because the UE is in connected mode, and the continuous samples without exact time info are enough for model training. And this may not be needed for spatial domain. However, we don</w:t>
      </w:r>
      <w:r>
        <w:rPr>
          <w:rFonts w:hint="default" w:ascii="Arial" w:hAnsi="Arial" w:cs="Arial"/>
          <w:i w:val="0"/>
          <w:iCs w:val="0"/>
          <w:sz w:val="20"/>
          <w:szCs w:val="20"/>
          <w:lang w:val="en-US" w:eastAsia="zh-CN"/>
        </w:rPr>
        <w:t>’</w:t>
      </w:r>
      <w:r>
        <w:rPr>
          <w:rFonts w:hint="eastAsia" w:ascii="Arial" w:hAnsi="Arial" w:cs="Arial"/>
          <w:i w:val="0"/>
          <w:iCs w:val="0"/>
          <w:sz w:val="20"/>
          <w:szCs w:val="20"/>
          <w:lang w:val="en-US" w:eastAsia="zh-CN"/>
        </w:rPr>
        <w:t>t think so considering the following aspects:</w:t>
      </w:r>
    </w:p>
    <w:p w14:paraId="6976916E">
      <w:pPr>
        <w:numPr>
          <w:ilvl w:val="0"/>
          <w:numId w:val="0"/>
        </w:numPr>
        <w:spacing w:before="120" w:beforeLines="50" w:after="120" w:line="260" w:lineRule="exact"/>
        <w:rPr>
          <w:rFonts w:hint="eastAsia" w:ascii="Arial" w:hAnsi="Arial" w:cs="Arial"/>
          <w:i w:val="0"/>
          <w:iCs w:val="0"/>
          <w:sz w:val="20"/>
          <w:szCs w:val="20"/>
          <w:lang w:val="en-US" w:eastAsia="zh-CN"/>
        </w:rPr>
      </w:pPr>
      <w:r>
        <w:rPr>
          <w:rFonts w:hint="eastAsia" w:ascii="Arial" w:hAnsi="Arial" w:cs="Arial"/>
          <w:i w:val="0"/>
          <w:iCs w:val="0"/>
          <w:sz w:val="20"/>
          <w:szCs w:val="20"/>
          <w:lang w:val="en-US" w:eastAsia="zh-CN"/>
        </w:rPr>
        <w:t>Firstly, RAN2 has agreed to support event-triggered data collection. In this case, the network cannot be aware of when the event is satisfied since it depends on UE</w:t>
      </w:r>
      <w:r>
        <w:rPr>
          <w:rFonts w:hint="default" w:ascii="Arial" w:hAnsi="Arial" w:cs="Arial"/>
          <w:i w:val="0"/>
          <w:iCs w:val="0"/>
          <w:sz w:val="20"/>
          <w:szCs w:val="20"/>
          <w:lang w:val="en-US" w:eastAsia="zh-CN"/>
        </w:rPr>
        <w:t>’</w:t>
      </w:r>
      <w:r>
        <w:rPr>
          <w:rFonts w:hint="eastAsia" w:ascii="Arial" w:hAnsi="Arial" w:cs="Arial"/>
          <w:i w:val="0"/>
          <w:iCs w:val="0"/>
          <w:sz w:val="20"/>
          <w:szCs w:val="20"/>
          <w:lang w:val="en-US" w:eastAsia="zh-CN"/>
        </w:rPr>
        <w:t>s measurements.</w:t>
      </w:r>
    </w:p>
    <w:p w14:paraId="4FE82DB1">
      <w:pPr>
        <w:numPr>
          <w:ilvl w:val="0"/>
          <w:numId w:val="0"/>
        </w:numPr>
        <w:spacing w:before="120" w:beforeLines="50" w:after="120" w:line="260" w:lineRule="exact"/>
        <w:rPr>
          <w:rFonts w:hint="eastAsia" w:ascii="Arial" w:hAnsi="Arial" w:cs="Arial"/>
          <w:i w:val="0"/>
          <w:iCs w:val="0"/>
          <w:sz w:val="20"/>
          <w:szCs w:val="20"/>
          <w:lang w:val="en-US" w:eastAsia="zh-CN"/>
        </w:rPr>
      </w:pPr>
      <w:r>
        <w:rPr>
          <w:rFonts w:hint="eastAsia" w:ascii="Arial" w:hAnsi="Arial" w:cs="Arial"/>
          <w:i w:val="0"/>
          <w:iCs w:val="0"/>
          <w:sz w:val="20"/>
          <w:szCs w:val="20"/>
          <w:lang w:val="en-US" w:eastAsia="zh-CN"/>
        </w:rPr>
        <w:t>Secondly, the NW-sided model could be trained centrally by OAM using datasets from multiple gNBs, rather than being trained locally at individual gNBs. In such scenario, OAM would lack awareness of the specific the time information.</w:t>
      </w:r>
    </w:p>
    <w:p w14:paraId="24B49C77">
      <w:pPr>
        <w:numPr>
          <w:ilvl w:val="0"/>
          <w:numId w:val="0"/>
        </w:numPr>
        <w:spacing w:before="120" w:beforeLines="50" w:after="120" w:line="260" w:lineRule="exact"/>
        <w:rPr>
          <w:rFonts w:hint="default" w:ascii="Arial" w:hAnsi="Arial" w:cs="Arial"/>
          <w:i w:val="0"/>
          <w:iCs w:val="0"/>
          <w:sz w:val="20"/>
          <w:szCs w:val="20"/>
          <w:lang w:val="en-US" w:eastAsia="zh-CN"/>
        </w:rPr>
      </w:pPr>
      <w:r>
        <w:rPr>
          <w:rFonts w:hint="eastAsia" w:ascii="Arial" w:hAnsi="Arial" w:cs="Arial"/>
          <w:i w:val="0"/>
          <w:iCs w:val="0"/>
          <w:sz w:val="20"/>
          <w:szCs w:val="20"/>
          <w:lang w:val="en-US" w:eastAsia="zh-CN"/>
        </w:rPr>
        <w:t>Thirdly, if the UE reports the logged data to a different gNB than the one providing the data collection configuration to the UE, the gNB will not be aware of the configuration and time info of logged data. For example, after a handover procedure, the UE reports the data collected within serving gNB to target gNB, but target gNB does not have the data collection configuration and will miss the time info of logged data.</w:t>
      </w:r>
    </w:p>
    <w:p w14:paraId="6E7F23C1">
      <w:pPr>
        <w:numPr>
          <w:ilvl w:val="0"/>
          <w:numId w:val="0"/>
        </w:numPr>
        <w:spacing w:before="120" w:beforeLines="50" w:after="120" w:line="260" w:lineRule="exact"/>
        <w:rPr>
          <w:rFonts w:hint="eastAsia" w:ascii="Arial" w:hAnsi="Arial" w:cs="Arial"/>
          <w:i w:val="0"/>
          <w:iCs w:val="0"/>
          <w:sz w:val="20"/>
          <w:szCs w:val="20"/>
          <w:lang w:val="en-US" w:eastAsia="zh-CN"/>
        </w:rPr>
      </w:pPr>
      <w:r>
        <w:rPr>
          <w:rFonts w:hint="eastAsia" w:ascii="Arial" w:hAnsi="Arial" w:cs="Arial"/>
          <w:i w:val="0"/>
          <w:iCs w:val="0"/>
          <w:sz w:val="20"/>
          <w:szCs w:val="20"/>
          <w:lang w:val="en-US" w:eastAsia="zh-CN"/>
        </w:rPr>
        <w:t xml:space="preserve">Lastly, the cell or beam quality varies at different moments (e.g. due to congestion) rather than remaining static, whether for temporal prediction or spatial prediction. For example, the quality of the same cell or beam will be different at 8 a.m. and 8 p.m.. </w:t>
      </w:r>
    </w:p>
    <w:p w14:paraId="68678AA2">
      <w:pPr>
        <w:numPr>
          <w:ilvl w:val="0"/>
          <w:numId w:val="0"/>
        </w:numPr>
        <w:spacing w:before="120" w:beforeLines="50" w:after="120" w:line="260" w:lineRule="exact"/>
        <w:rPr>
          <w:rFonts w:hint="eastAsia" w:ascii="Arial" w:hAnsi="Arial" w:cs="Arial"/>
          <w:b/>
          <w:bCs/>
          <w:i w:val="0"/>
          <w:iCs w:val="0"/>
          <w:sz w:val="20"/>
          <w:szCs w:val="20"/>
          <w:lang w:val="en-US" w:eastAsia="zh-CN"/>
        </w:rPr>
      </w:pPr>
      <w:r>
        <w:rPr>
          <w:rFonts w:hint="eastAsia" w:ascii="Arial" w:hAnsi="Arial" w:cs="Arial"/>
          <w:b/>
          <w:bCs/>
          <w:i w:val="0"/>
          <w:iCs w:val="0"/>
          <w:sz w:val="20"/>
          <w:szCs w:val="20"/>
          <w:highlight w:val="none"/>
          <w:lang w:val="en-US" w:eastAsia="zh-CN"/>
        </w:rPr>
        <w:t xml:space="preserve">Observation 3: </w:t>
      </w:r>
      <w:r>
        <w:rPr>
          <w:rFonts w:hint="eastAsia" w:ascii="Arial" w:hAnsi="Arial" w:cs="Arial"/>
          <w:b/>
          <w:bCs/>
          <w:i w:val="0"/>
          <w:iCs w:val="0"/>
          <w:sz w:val="20"/>
          <w:szCs w:val="20"/>
          <w:lang w:val="en-US" w:eastAsia="zh-CN"/>
        </w:rPr>
        <w:t>The time info is necessary for model training considering the following aspects:</w:t>
      </w:r>
    </w:p>
    <w:p w14:paraId="15F8FA68">
      <w:pPr>
        <w:numPr>
          <w:ilvl w:val="0"/>
          <w:numId w:val="0"/>
        </w:numPr>
        <w:spacing w:before="120" w:beforeLines="50" w:after="120" w:line="260" w:lineRule="exact"/>
        <w:ind w:leftChars="100"/>
        <w:rPr>
          <w:rFonts w:hint="eastAsia" w:ascii="Arial" w:hAnsi="Arial" w:cs="Arial"/>
          <w:b/>
          <w:bCs/>
          <w:i w:val="0"/>
          <w:iCs w:val="0"/>
          <w:sz w:val="20"/>
          <w:szCs w:val="20"/>
          <w:lang w:val="en-US" w:eastAsia="zh-CN"/>
        </w:rPr>
      </w:pPr>
      <w:r>
        <w:rPr>
          <w:rFonts w:hint="eastAsia" w:ascii="Arial" w:hAnsi="Arial" w:cs="Arial"/>
          <w:b/>
          <w:bCs/>
          <w:i w:val="0"/>
          <w:iCs w:val="0"/>
          <w:sz w:val="20"/>
          <w:szCs w:val="20"/>
          <w:lang w:val="en-US" w:eastAsia="zh-CN"/>
        </w:rPr>
        <w:t>- For event-triggered data collection, the network cannot be aware of when the event is satisfied</w:t>
      </w:r>
    </w:p>
    <w:p w14:paraId="19B25E2F">
      <w:pPr>
        <w:numPr>
          <w:ilvl w:val="0"/>
          <w:numId w:val="0"/>
        </w:numPr>
        <w:spacing w:before="120" w:beforeLines="50" w:after="120" w:line="260" w:lineRule="exact"/>
        <w:ind w:leftChars="100"/>
        <w:rPr>
          <w:rFonts w:hint="eastAsia" w:ascii="Arial" w:hAnsi="Arial" w:cs="Arial"/>
          <w:b/>
          <w:bCs/>
          <w:i w:val="0"/>
          <w:iCs w:val="0"/>
          <w:sz w:val="20"/>
          <w:szCs w:val="20"/>
          <w:lang w:val="en-US" w:eastAsia="zh-CN"/>
        </w:rPr>
      </w:pPr>
      <w:r>
        <w:rPr>
          <w:rFonts w:hint="eastAsia" w:ascii="Arial" w:hAnsi="Arial" w:cs="Arial"/>
          <w:b/>
          <w:bCs/>
          <w:i w:val="0"/>
          <w:iCs w:val="0"/>
          <w:sz w:val="20"/>
          <w:szCs w:val="20"/>
          <w:lang w:val="en-US" w:eastAsia="zh-CN"/>
        </w:rPr>
        <w:t>- For model training at OAM using datasets from multiple gNBs, OAM cannot be aware of the specific the time information</w:t>
      </w:r>
    </w:p>
    <w:p w14:paraId="12CB9660">
      <w:pPr>
        <w:numPr>
          <w:ilvl w:val="0"/>
          <w:numId w:val="0"/>
        </w:numPr>
        <w:spacing w:before="120" w:beforeLines="50" w:after="120" w:line="260" w:lineRule="exact"/>
        <w:ind w:leftChars="100"/>
        <w:rPr>
          <w:rFonts w:hint="default" w:ascii="Arial" w:hAnsi="Arial" w:cs="Arial"/>
          <w:b/>
          <w:bCs/>
          <w:i w:val="0"/>
          <w:iCs w:val="0"/>
          <w:sz w:val="20"/>
          <w:szCs w:val="20"/>
          <w:lang w:val="en-US" w:eastAsia="zh-CN"/>
        </w:rPr>
      </w:pPr>
      <w:r>
        <w:rPr>
          <w:rFonts w:hint="eastAsia" w:ascii="Arial" w:hAnsi="Arial" w:cs="Arial"/>
          <w:b/>
          <w:bCs/>
          <w:i w:val="0"/>
          <w:iCs w:val="0"/>
          <w:sz w:val="20"/>
          <w:szCs w:val="20"/>
          <w:lang w:val="en-US" w:eastAsia="zh-CN"/>
        </w:rPr>
        <w:t>- For the scenario that UE reports the data collected within serving gNB to target gNB, the target gNB does not have the data collection configuration and cannot cannot be aware of the time info</w:t>
      </w:r>
    </w:p>
    <w:p w14:paraId="3ECCEB5E">
      <w:pPr>
        <w:numPr>
          <w:ilvl w:val="0"/>
          <w:numId w:val="0"/>
        </w:numPr>
        <w:spacing w:before="120" w:beforeLines="50" w:after="120" w:line="260" w:lineRule="exact"/>
        <w:ind w:leftChars="100"/>
        <w:rPr>
          <w:rFonts w:hint="default" w:ascii="Arial" w:hAnsi="Arial" w:cs="Arial"/>
          <w:b/>
          <w:bCs/>
          <w:i w:val="0"/>
          <w:iCs w:val="0"/>
          <w:sz w:val="20"/>
          <w:szCs w:val="20"/>
          <w:lang w:val="en-US" w:eastAsia="zh-CN"/>
        </w:rPr>
      </w:pPr>
      <w:r>
        <w:rPr>
          <w:rFonts w:hint="eastAsia" w:ascii="Arial" w:hAnsi="Arial" w:cs="Arial"/>
          <w:b/>
          <w:bCs/>
          <w:i w:val="0"/>
          <w:iCs w:val="0"/>
          <w:sz w:val="20"/>
          <w:szCs w:val="20"/>
          <w:lang w:val="en-US" w:eastAsia="zh-CN"/>
        </w:rPr>
        <w:t>- For the cell or beam quality, it can vary at different moments (e.g. at 8 a.m. and 8 p.m.), whether for temporal prediction or spatial prediction</w:t>
      </w:r>
    </w:p>
    <w:p w14:paraId="062202D3">
      <w:pPr>
        <w:numPr>
          <w:ilvl w:val="0"/>
          <w:numId w:val="0"/>
        </w:numPr>
        <w:spacing w:before="120" w:beforeLines="50" w:after="120" w:line="260" w:lineRule="exact"/>
        <w:rPr>
          <w:rFonts w:hint="eastAsia" w:ascii="Arial" w:hAnsi="Arial" w:cs="Arial"/>
          <w:i w:val="0"/>
          <w:iCs w:val="0"/>
          <w:sz w:val="20"/>
          <w:szCs w:val="20"/>
          <w:lang w:val="en-US" w:eastAsia="zh-CN"/>
        </w:rPr>
      </w:pPr>
      <w:r>
        <w:rPr>
          <w:rFonts w:hint="eastAsia" w:ascii="Arial" w:hAnsi="Arial" w:cs="Arial"/>
          <w:i w:val="0"/>
          <w:iCs w:val="0"/>
          <w:sz w:val="20"/>
          <w:szCs w:val="20"/>
          <w:lang w:val="en-US" w:eastAsia="zh-CN"/>
        </w:rPr>
        <w:t xml:space="preserve">Based on the above analysis, the time stamp should be included for data collection for model training. The similar principle to logged MDT can be reused, i.e. use </w:t>
      </w:r>
      <w:r>
        <w:rPr>
          <w:rFonts w:hint="eastAsia" w:ascii="Arial" w:hAnsi="Arial" w:cs="Arial"/>
          <w:i/>
          <w:iCs/>
          <w:sz w:val="20"/>
          <w:szCs w:val="20"/>
          <w:lang w:val="en-US" w:eastAsia="zh-CN"/>
        </w:rPr>
        <w:t>absoluteTimeStamp</w:t>
      </w:r>
      <w:r>
        <w:rPr>
          <w:rFonts w:hint="eastAsia" w:ascii="Arial" w:hAnsi="Arial" w:cs="Arial"/>
          <w:i w:val="0"/>
          <w:iCs w:val="0"/>
          <w:sz w:val="20"/>
          <w:szCs w:val="20"/>
          <w:lang w:val="en-US" w:eastAsia="zh-CN"/>
        </w:rPr>
        <w:t xml:space="preserve"> to indicate the absolute time when the data collection configuration is provided, and </w:t>
      </w:r>
      <w:r>
        <w:rPr>
          <w:rFonts w:hint="eastAsia" w:ascii="Arial" w:hAnsi="Arial" w:cs="Arial"/>
          <w:i/>
          <w:iCs/>
          <w:sz w:val="20"/>
          <w:szCs w:val="20"/>
          <w:lang w:val="en-US" w:eastAsia="zh-CN"/>
        </w:rPr>
        <w:t>relativeTimeStamp</w:t>
      </w:r>
      <w:r>
        <w:rPr>
          <w:rFonts w:hint="eastAsia" w:ascii="Arial" w:hAnsi="Arial" w:cs="Arial"/>
          <w:i w:val="0"/>
          <w:iCs w:val="0"/>
          <w:sz w:val="20"/>
          <w:szCs w:val="20"/>
          <w:lang w:val="en-US" w:eastAsia="zh-CN"/>
        </w:rPr>
        <w:t xml:space="preserve"> is used to indicate the time of logged measurement results.</w:t>
      </w:r>
    </w:p>
    <w:p w14:paraId="328F7408">
      <w:pPr>
        <w:numPr>
          <w:ilvl w:val="0"/>
          <w:numId w:val="0"/>
        </w:numPr>
        <w:spacing w:before="120" w:beforeLines="50" w:after="120" w:line="260" w:lineRule="exact"/>
        <w:rPr>
          <w:rFonts w:hint="default" w:eastAsia="宋体"/>
          <w:b w:val="0"/>
          <w:bCs/>
          <w:lang w:eastAsia="zh-CN"/>
        </w:rPr>
      </w:pPr>
      <w:r>
        <w:rPr>
          <w:rFonts w:hint="eastAsia" w:ascii="Arial" w:hAnsi="Arial" w:cs="Arial"/>
          <w:b/>
          <w:bCs/>
          <w:i w:val="0"/>
          <w:iCs w:val="0"/>
          <w:sz w:val="20"/>
          <w:szCs w:val="20"/>
          <w:lang w:val="en-US" w:eastAsia="zh-CN"/>
        </w:rPr>
        <w:t xml:space="preserve">Proposal 3: The time stamp should be included for training data collection, and the similar principle to logged MDT can be reused, i.e. use </w:t>
      </w:r>
      <w:r>
        <w:rPr>
          <w:rFonts w:hint="eastAsia" w:ascii="Arial" w:hAnsi="Arial" w:cs="Arial"/>
          <w:b/>
          <w:bCs/>
          <w:i/>
          <w:iCs/>
          <w:sz w:val="20"/>
          <w:szCs w:val="20"/>
          <w:lang w:val="en-US" w:eastAsia="zh-CN"/>
        </w:rPr>
        <w:t>absoluteTimeStamp</w:t>
      </w:r>
      <w:r>
        <w:rPr>
          <w:rFonts w:hint="eastAsia" w:ascii="Arial" w:hAnsi="Arial" w:cs="Arial"/>
          <w:i w:val="0"/>
          <w:iCs w:val="0"/>
          <w:sz w:val="20"/>
          <w:szCs w:val="20"/>
          <w:lang w:val="en-US" w:eastAsia="zh-CN"/>
        </w:rPr>
        <w:t xml:space="preserve"> </w:t>
      </w:r>
      <w:r>
        <w:rPr>
          <w:rFonts w:hint="eastAsia" w:ascii="Arial" w:hAnsi="Arial" w:cs="Arial"/>
          <w:b/>
          <w:bCs/>
          <w:i w:val="0"/>
          <w:iCs w:val="0"/>
          <w:sz w:val="20"/>
          <w:szCs w:val="20"/>
          <w:lang w:val="en-US" w:eastAsia="zh-CN"/>
        </w:rPr>
        <w:t xml:space="preserve">to indicate the absolute time when the data collection configuration is provided, and use </w:t>
      </w:r>
      <w:r>
        <w:rPr>
          <w:rFonts w:hint="eastAsia" w:ascii="Arial" w:hAnsi="Arial" w:cs="Arial"/>
          <w:b/>
          <w:bCs/>
          <w:i/>
          <w:iCs/>
          <w:sz w:val="20"/>
          <w:szCs w:val="20"/>
          <w:lang w:val="en-US" w:eastAsia="zh-CN"/>
        </w:rPr>
        <w:t>relativeTimeStamp</w:t>
      </w:r>
      <w:r>
        <w:rPr>
          <w:rFonts w:hint="eastAsia" w:ascii="Arial" w:hAnsi="Arial" w:cs="Arial"/>
          <w:b/>
          <w:bCs/>
          <w:i w:val="0"/>
          <w:iCs w:val="0"/>
          <w:sz w:val="20"/>
          <w:szCs w:val="20"/>
          <w:lang w:val="en-US" w:eastAsia="zh-CN"/>
        </w:rPr>
        <w:t xml:space="preserve"> to indicate the time of logged measurement results.</w:t>
      </w:r>
    </w:p>
    <w:p w14:paraId="48473DD3">
      <w:pPr>
        <w:numPr>
          <w:ilvl w:val="0"/>
          <w:numId w:val="0"/>
        </w:numPr>
        <w:spacing w:before="120" w:beforeLines="50" w:after="120" w:line="260" w:lineRule="exact"/>
        <w:rPr>
          <w:rFonts w:hint="default" w:eastAsia="宋体"/>
          <w:b w:val="0"/>
          <w:bCs/>
          <w:lang w:eastAsia="zh-CN"/>
        </w:rPr>
      </w:pPr>
    </w:p>
    <w:p w14:paraId="0F37CA4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Issue#3: FFS on handing during mobility</w:t>
      </w:r>
    </w:p>
    <w:p w14:paraId="54CC626C">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val="0"/>
          <w:bCs/>
          <w:sz w:val="20"/>
          <w:szCs w:val="20"/>
        </w:rPr>
      </w:pPr>
      <w:r>
        <w:rPr>
          <w:rFonts w:hint="eastAsia" w:ascii="Arial" w:hAnsi="Arial" w:cs="Arial"/>
          <w:b w:val="0"/>
          <w:bCs/>
          <w:sz w:val="20"/>
          <w:szCs w:val="21"/>
          <w:lang w:val="en-US" w:eastAsia="zh-CN"/>
        </w:rPr>
        <w:t xml:space="preserve">In last meeting, RAN2 agreed that </w:t>
      </w:r>
      <w:r>
        <w:rPr>
          <w:rFonts w:hint="default" w:ascii="Arial" w:hAnsi="Arial" w:cs="Arial"/>
          <w:b w:val="0"/>
          <w:bCs/>
          <w:sz w:val="20"/>
          <w:szCs w:val="21"/>
        </w:rPr>
        <w:t>UE retains logged data during handover (HO)</w:t>
      </w:r>
      <w:r>
        <w:rPr>
          <w:rFonts w:hint="eastAsia" w:ascii="Arial" w:hAnsi="Arial" w:cs="Arial"/>
          <w:b w:val="0"/>
          <w:bCs/>
          <w:sz w:val="20"/>
          <w:szCs w:val="21"/>
          <w:lang w:val="en-US" w:eastAsia="zh-CN"/>
        </w:rPr>
        <w:t xml:space="preserve"> and </w:t>
      </w:r>
      <w:r>
        <w:rPr>
          <w:rFonts w:hint="default" w:ascii="Arial" w:hAnsi="Arial" w:cs="Arial"/>
          <w:b w:val="0"/>
          <w:bCs/>
          <w:sz w:val="20"/>
          <w:szCs w:val="21"/>
        </w:rPr>
        <w:t>indicates availability of logged data during handover (i.e., within the RRCReconfigurationComplete message). FFS if there is scenarios where the UE needs to release the data and how does the UE know and if control from network is needed</w:t>
      </w:r>
      <w:r>
        <w:rPr>
          <w:rFonts w:hint="eastAsia" w:ascii="Arial" w:hAnsi="Arial" w:cs="Arial"/>
          <w:b w:val="0"/>
          <w:bCs/>
          <w:sz w:val="20"/>
          <w:szCs w:val="21"/>
          <w:lang w:val="en-US" w:eastAsia="zh-CN"/>
        </w:rPr>
        <w:t xml:space="preserve">. And </w:t>
      </w:r>
      <w:r>
        <w:rPr>
          <w:rFonts w:hint="default" w:ascii="Arial" w:hAnsi="Arial" w:cs="Arial"/>
          <w:b w:val="0"/>
          <w:bCs/>
          <w:sz w:val="20"/>
          <w:szCs w:val="20"/>
        </w:rPr>
        <w:t>FFS how to handle idle/inactive and RLF cases and whether we have a unified.</w:t>
      </w:r>
    </w:p>
    <w:p w14:paraId="5A2ECFC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eastAsiaTheme="minorEastAsia"/>
          <w:b w:val="0"/>
          <w:bCs/>
          <w:sz w:val="20"/>
          <w:szCs w:val="20"/>
          <w:lang w:val="en-US" w:eastAsia="zh-CN"/>
        </w:rPr>
      </w:pPr>
      <w:r>
        <w:rPr>
          <w:rFonts w:hint="eastAsia" w:ascii="Arial" w:hAnsi="Arial" w:cs="Arial"/>
          <w:b w:val="0"/>
          <w:bCs/>
          <w:sz w:val="20"/>
          <w:szCs w:val="20"/>
          <w:lang w:val="en-US" w:eastAsia="zh-CN"/>
        </w:rPr>
        <w:t>In our understanding, if there are different behaviors for handover, idle/inactive and RLF cases, it may force the network to keep the UE in connected mode. We prefer to have a unified solution to handle handover, idle/inactive and RLF cases.</w:t>
      </w:r>
    </w:p>
    <w:p w14:paraId="1735F0A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Proposal 4: It is proposed to have a unified solution to handle handover, idle/inactive and RLF cases. </w:t>
      </w:r>
    </w:p>
    <w:p w14:paraId="0C0969D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From the perspective of operator, if the UE is configured to collect data, it is not expected to release autonomously by the UE since this can lead to the waste of UE power consumption. Therefore, the UE can retain logged data when entering to idle/inactive mode or when RLF occurs, and then can indicate availability of logged data within </w:t>
      </w:r>
      <w:r>
        <w:rPr>
          <w:rFonts w:hint="eastAsia" w:ascii="Arial" w:hAnsi="Arial" w:cs="Arial"/>
          <w:b w:val="0"/>
          <w:bCs/>
          <w:i/>
          <w:iCs/>
          <w:sz w:val="20"/>
          <w:szCs w:val="20"/>
          <w:lang w:val="en-US" w:eastAsia="zh-CN"/>
        </w:rPr>
        <w:t>RRCSetupComplete</w:t>
      </w:r>
      <w:r>
        <w:rPr>
          <w:rFonts w:hint="eastAsia" w:ascii="Arial" w:hAnsi="Arial" w:cs="Arial"/>
          <w:b w:val="0"/>
          <w:bCs/>
          <w:sz w:val="20"/>
          <w:szCs w:val="20"/>
          <w:lang w:val="en-US" w:eastAsia="zh-CN"/>
        </w:rPr>
        <w:t xml:space="preserve">, </w:t>
      </w:r>
      <w:r>
        <w:rPr>
          <w:rFonts w:hint="eastAsia" w:ascii="Arial" w:hAnsi="Arial" w:cs="Arial"/>
          <w:b w:val="0"/>
          <w:bCs/>
          <w:i/>
          <w:iCs/>
          <w:sz w:val="20"/>
          <w:szCs w:val="20"/>
          <w:lang w:val="en-US" w:eastAsia="zh-CN"/>
        </w:rPr>
        <w:t>RRCResumeComplete</w:t>
      </w:r>
      <w:r>
        <w:rPr>
          <w:rFonts w:hint="eastAsia" w:ascii="Arial" w:hAnsi="Arial" w:cs="Arial"/>
          <w:b w:val="0"/>
          <w:bCs/>
          <w:sz w:val="20"/>
          <w:szCs w:val="20"/>
          <w:lang w:val="en-US" w:eastAsia="zh-CN"/>
        </w:rPr>
        <w:t xml:space="preserve">, and </w:t>
      </w:r>
      <w:r>
        <w:rPr>
          <w:rFonts w:hint="eastAsia" w:ascii="Arial" w:hAnsi="Arial" w:cs="Arial"/>
          <w:b w:val="0"/>
          <w:bCs/>
          <w:i/>
          <w:iCs/>
          <w:sz w:val="20"/>
          <w:szCs w:val="20"/>
          <w:lang w:val="en-US" w:eastAsia="zh-CN"/>
        </w:rPr>
        <w:t xml:space="preserve">RRCreestablishmentComplete </w:t>
      </w:r>
      <w:r>
        <w:rPr>
          <w:rFonts w:hint="eastAsia" w:ascii="Arial" w:hAnsi="Arial" w:cs="Arial"/>
          <w:b w:val="0"/>
          <w:bCs/>
          <w:sz w:val="20"/>
          <w:szCs w:val="20"/>
          <w:lang w:val="en-US" w:eastAsia="zh-CN"/>
        </w:rPr>
        <w:t xml:space="preserve">message. </w:t>
      </w:r>
    </w:p>
    <w:p w14:paraId="5121469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Proposal 5: The UE can retain logged data when entering to idle/inactive mode or when RLF occurs, and then can indicate data availability within </w:t>
      </w:r>
      <w:r>
        <w:rPr>
          <w:rFonts w:hint="eastAsia" w:ascii="Arial" w:hAnsi="Arial" w:cs="Arial"/>
          <w:b/>
          <w:bCs w:val="0"/>
          <w:i/>
          <w:iCs/>
          <w:sz w:val="20"/>
          <w:szCs w:val="20"/>
          <w:lang w:val="en-US" w:eastAsia="zh-CN"/>
        </w:rPr>
        <w:t>RRCSetupComplete</w:t>
      </w:r>
      <w:r>
        <w:rPr>
          <w:rFonts w:hint="eastAsia" w:ascii="Arial" w:hAnsi="Arial" w:cs="Arial"/>
          <w:b/>
          <w:bCs w:val="0"/>
          <w:sz w:val="20"/>
          <w:szCs w:val="20"/>
          <w:lang w:val="en-US" w:eastAsia="zh-CN"/>
        </w:rPr>
        <w:t xml:space="preserve">, </w:t>
      </w:r>
      <w:r>
        <w:rPr>
          <w:rFonts w:hint="eastAsia" w:ascii="Arial" w:hAnsi="Arial" w:cs="Arial"/>
          <w:b/>
          <w:bCs w:val="0"/>
          <w:i/>
          <w:iCs/>
          <w:sz w:val="20"/>
          <w:szCs w:val="20"/>
          <w:lang w:val="en-US" w:eastAsia="zh-CN"/>
        </w:rPr>
        <w:t>RRCResumeComplete</w:t>
      </w:r>
      <w:r>
        <w:rPr>
          <w:rFonts w:hint="eastAsia" w:ascii="Arial" w:hAnsi="Arial" w:cs="Arial"/>
          <w:b/>
          <w:bCs w:val="0"/>
          <w:sz w:val="20"/>
          <w:szCs w:val="20"/>
          <w:lang w:val="en-US" w:eastAsia="zh-CN"/>
        </w:rPr>
        <w:t xml:space="preserve">, and </w:t>
      </w:r>
      <w:r>
        <w:rPr>
          <w:rFonts w:hint="eastAsia" w:ascii="Arial" w:hAnsi="Arial" w:cs="Arial"/>
          <w:b/>
          <w:bCs w:val="0"/>
          <w:i/>
          <w:iCs/>
          <w:sz w:val="20"/>
          <w:szCs w:val="20"/>
          <w:lang w:val="en-US" w:eastAsia="zh-CN"/>
        </w:rPr>
        <w:t xml:space="preserve">RRCreestablishmentComplete </w:t>
      </w:r>
      <w:r>
        <w:rPr>
          <w:rFonts w:hint="eastAsia" w:ascii="Arial" w:hAnsi="Arial" w:cs="Arial"/>
          <w:b/>
          <w:bCs w:val="0"/>
          <w:sz w:val="20"/>
          <w:szCs w:val="20"/>
          <w:lang w:val="en-US" w:eastAsia="zh-CN"/>
        </w:rPr>
        <w:t>message.</w:t>
      </w:r>
    </w:p>
    <w:p w14:paraId="624516D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val="0"/>
          <w:bCs/>
          <w:sz w:val="20"/>
          <w:szCs w:val="21"/>
          <w:lang w:val="en-US" w:eastAsia="zh-CN"/>
        </w:rPr>
      </w:pPr>
      <w:r>
        <w:rPr>
          <w:rFonts w:hint="eastAsia" w:ascii="Arial" w:hAnsi="Arial" w:cs="Arial"/>
          <w:b w:val="0"/>
          <w:bCs/>
          <w:sz w:val="20"/>
          <w:szCs w:val="21"/>
          <w:lang w:val="en-US" w:eastAsia="zh-CN"/>
        </w:rPr>
        <w:t xml:space="preserve">On the other hand, considering the flexibility of network control, we think an indication can be provided to the UE to retain or release the logged data during handover, state transition to idle/inactive mode, or RLF case. Specifically, the indication can be included in </w:t>
      </w:r>
      <w:r>
        <w:rPr>
          <w:rFonts w:hint="eastAsia" w:ascii="Arial" w:hAnsi="Arial" w:cs="Arial"/>
          <w:b w:val="0"/>
          <w:bCs/>
          <w:i/>
          <w:iCs/>
          <w:sz w:val="20"/>
          <w:szCs w:val="21"/>
          <w:lang w:val="en-US" w:eastAsia="zh-CN"/>
        </w:rPr>
        <w:t>HandoverCommand</w:t>
      </w:r>
      <w:r>
        <w:rPr>
          <w:rFonts w:hint="eastAsia" w:ascii="Arial" w:hAnsi="Arial" w:cs="Arial"/>
          <w:b w:val="0"/>
          <w:bCs/>
          <w:sz w:val="20"/>
          <w:szCs w:val="21"/>
          <w:lang w:val="en-US" w:eastAsia="zh-CN"/>
        </w:rPr>
        <w:t xml:space="preserve">, </w:t>
      </w:r>
      <w:r>
        <w:rPr>
          <w:rFonts w:hint="eastAsia" w:ascii="Arial" w:hAnsi="Arial" w:cs="Arial"/>
          <w:b w:val="0"/>
          <w:bCs/>
          <w:i/>
          <w:iCs/>
          <w:sz w:val="20"/>
          <w:szCs w:val="21"/>
          <w:lang w:val="en-US" w:eastAsia="zh-CN"/>
        </w:rPr>
        <w:t>RRCRelease</w:t>
      </w:r>
      <w:r>
        <w:rPr>
          <w:rFonts w:hint="eastAsia" w:ascii="Arial" w:hAnsi="Arial" w:cs="Arial"/>
          <w:b w:val="0"/>
          <w:bCs/>
          <w:sz w:val="20"/>
          <w:szCs w:val="21"/>
          <w:lang w:val="en-US" w:eastAsia="zh-CN"/>
        </w:rPr>
        <w:t xml:space="preserve">, or </w:t>
      </w:r>
      <w:r>
        <w:rPr>
          <w:rFonts w:hint="eastAsia" w:ascii="Arial" w:hAnsi="Arial" w:cs="Arial"/>
          <w:b w:val="0"/>
          <w:bCs/>
          <w:i/>
          <w:iCs/>
          <w:sz w:val="20"/>
          <w:szCs w:val="21"/>
          <w:lang w:val="en-US" w:eastAsia="zh-CN"/>
        </w:rPr>
        <w:t xml:space="preserve">RRCReconfiguration </w:t>
      </w:r>
      <w:r>
        <w:rPr>
          <w:rFonts w:hint="eastAsia" w:ascii="Arial" w:hAnsi="Arial" w:cs="Arial"/>
          <w:b w:val="0"/>
          <w:bCs/>
          <w:sz w:val="20"/>
          <w:szCs w:val="21"/>
          <w:lang w:val="en-US" w:eastAsia="zh-CN"/>
        </w:rPr>
        <w:t>message. And if the indication is not provided, the UE retains the logged data by default.</w:t>
      </w:r>
    </w:p>
    <w:p w14:paraId="4DFF2DF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val="0"/>
          <w:sz w:val="20"/>
          <w:szCs w:val="21"/>
          <w:lang w:val="en-US" w:eastAsia="zh-CN"/>
        </w:rPr>
      </w:pPr>
      <w:r>
        <w:rPr>
          <w:rFonts w:hint="eastAsia" w:ascii="Arial" w:hAnsi="Arial" w:cs="Arial"/>
          <w:b/>
          <w:bCs w:val="0"/>
          <w:sz w:val="20"/>
          <w:szCs w:val="21"/>
          <w:lang w:val="en-US" w:eastAsia="zh-CN"/>
        </w:rPr>
        <w:t xml:space="preserve">Proposal 6: The indication can be provided to the UE to retain or release the logged data within </w:t>
      </w:r>
      <w:r>
        <w:rPr>
          <w:rFonts w:hint="eastAsia" w:ascii="Arial" w:hAnsi="Arial" w:cs="Arial"/>
          <w:b w:val="0"/>
          <w:bCs/>
          <w:sz w:val="20"/>
          <w:szCs w:val="21"/>
          <w:lang w:val="en-US" w:eastAsia="zh-CN"/>
        </w:rPr>
        <w:t xml:space="preserve"> </w:t>
      </w:r>
      <w:r>
        <w:rPr>
          <w:rFonts w:hint="eastAsia" w:ascii="Arial" w:hAnsi="Arial" w:cs="Arial"/>
          <w:b/>
          <w:bCs w:val="0"/>
          <w:i/>
          <w:iCs/>
          <w:sz w:val="20"/>
          <w:szCs w:val="21"/>
          <w:lang w:val="en-US" w:eastAsia="zh-CN"/>
        </w:rPr>
        <w:t>HandoverCommand</w:t>
      </w:r>
      <w:r>
        <w:rPr>
          <w:rFonts w:hint="eastAsia" w:ascii="Arial" w:hAnsi="Arial" w:cs="Arial"/>
          <w:b/>
          <w:bCs w:val="0"/>
          <w:sz w:val="20"/>
          <w:szCs w:val="21"/>
          <w:lang w:val="en-US" w:eastAsia="zh-CN"/>
        </w:rPr>
        <w:t xml:space="preserve">, </w:t>
      </w:r>
      <w:r>
        <w:rPr>
          <w:rFonts w:hint="eastAsia" w:ascii="Arial" w:hAnsi="Arial" w:cs="Arial"/>
          <w:b/>
          <w:bCs w:val="0"/>
          <w:i/>
          <w:iCs/>
          <w:sz w:val="20"/>
          <w:szCs w:val="21"/>
          <w:lang w:val="en-US" w:eastAsia="zh-CN"/>
        </w:rPr>
        <w:t>RRCRelease</w:t>
      </w:r>
      <w:r>
        <w:rPr>
          <w:rFonts w:hint="eastAsia" w:ascii="Arial" w:hAnsi="Arial" w:cs="Arial"/>
          <w:b/>
          <w:bCs w:val="0"/>
          <w:sz w:val="20"/>
          <w:szCs w:val="21"/>
          <w:lang w:val="en-US" w:eastAsia="zh-CN"/>
        </w:rPr>
        <w:t xml:space="preserve">, or </w:t>
      </w:r>
      <w:r>
        <w:rPr>
          <w:rFonts w:hint="eastAsia" w:ascii="Arial" w:hAnsi="Arial" w:cs="Arial"/>
          <w:b/>
          <w:bCs w:val="0"/>
          <w:i/>
          <w:iCs/>
          <w:sz w:val="20"/>
          <w:szCs w:val="21"/>
          <w:lang w:val="en-US" w:eastAsia="zh-CN"/>
        </w:rPr>
        <w:t xml:space="preserve">RRCReconfiguration </w:t>
      </w:r>
      <w:r>
        <w:rPr>
          <w:rFonts w:hint="eastAsia" w:ascii="Arial" w:hAnsi="Arial" w:cs="Arial"/>
          <w:b/>
          <w:bCs w:val="0"/>
          <w:sz w:val="20"/>
          <w:szCs w:val="21"/>
          <w:lang w:val="en-US" w:eastAsia="zh-CN"/>
        </w:rPr>
        <w:t>message.</w:t>
      </w:r>
    </w:p>
    <w:p w14:paraId="259AA95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sz w:val="20"/>
          <w:szCs w:val="21"/>
          <w:lang w:val="en-US" w:eastAsia="zh-CN"/>
        </w:rPr>
      </w:pPr>
      <w:r>
        <w:rPr>
          <w:rFonts w:hint="eastAsia" w:ascii="Arial" w:hAnsi="Arial" w:cs="Arial"/>
          <w:b w:val="0"/>
          <w:bCs/>
          <w:sz w:val="20"/>
          <w:szCs w:val="21"/>
          <w:lang w:val="en-US" w:eastAsia="zh-CN"/>
        </w:rPr>
        <w:t>In logged MDT, the UE will start the 48 hour timer when the UE memory reserved for MDT is full, as specified in TS 37.320 [3]. That is, the UE retains the logged data for up to 48 hours after the buffer is full. We think the similar principle can be reused for training data collection.</w:t>
      </w:r>
    </w:p>
    <w:p w14:paraId="2078FFC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val="0"/>
          <w:sz w:val="20"/>
          <w:szCs w:val="21"/>
          <w:lang w:val="en-US" w:eastAsia="zh-CN"/>
        </w:rPr>
      </w:pPr>
      <w:r>
        <w:rPr>
          <w:rFonts w:hint="eastAsia" w:ascii="Arial" w:hAnsi="Arial" w:cs="Arial"/>
          <w:b/>
          <w:bCs w:val="0"/>
          <w:sz w:val="20"/>
          <w:szCs w:val="21"/>
          <w:lang w:val="en-US" w:eastAsia="zh-CN"/>
        </w:rPr>
        <w:t>Proposal 7: The UE retains the logged data for up to 48 hours after the buffer is full.</w:t>
      </w:r>
    </w:p>
    <w:p w14:paraId="42F3CDA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val="0"/>
          <w:bCs/>
          <w:sz w:val="20"/>
          <w:szCs w:val="21"/>
          <w:lang w:val="en-US" w:eastAsia="zh-CN"/>
        </w:rPr>
      </w:pPr>
    </w:p>
    <w:p w14:paraId="4CFAC69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b/>
          <w:bCs/>
          <w:i/>
          <w:iCs/>
          <w:sz w:val="20"/>
          <w:szCs w:val="20"/>
          <w:u w:val="single"/>
          <w:lang w:val="en-US" w:eastAsia="zh-CN"/>
        </w:rPr>
        <w:t>Issue#4: Data type for NW sided model and UE sided model</w:t>
      </w:r>
    </w:p>
    <w:p w14:paraId="0371037D">
      <w:pPr>
        <w:numPr>
          <w:ilvl w:val="0"/>
          <w:numId w:val="0"/>
        </w:numPr>
        <w:spacing w:before="120" w:beforeLines="50" w:after="120" w:line="260" w:lineRule="exact"/>
        <w:rPr>
          <w:rFonts w:hint="default" w:ascii="Arial" w:hAnsi="Arial" w:eastAsia="宋体" w:cs="Arial"/>
          <w:kern w:val="0"/>
          <w:sz w:val="20"/>
          <w:szCs w:val="20"/>
          <w:lang w:val="en-US" w:eastAsia="zh-CN"/>
        </w:rPr>
      </w:pPr>
      <w:r>
        <w:rPr>
          <w:rFonts w:hint="eastAsia" w:ascii="Arial" w:hAnsi="Arial" w:eastAsia="宋体" w:cs="Arial"/>
          <w:kern w:val="0"/>
          <w:sz w:val="20"/>
          <w:szCs w:val="20"/>
          <w:lang w:val="en-GB"/>
        </w:rPr>
        <w:t>During</w:t>
      </w:r>
      <w:r>
        <w:rPr>
          <w:rFonts w:hint="eastAsia" w:ascii="Arial" w:hAnsi="Arial" w:eastAsia="宋体" w:cs="Arial"/>
          <w:kern w:val="0"/>
          <w:sz w:val="20"/>
          <w:szCs w:val="20"/>
          <w:lang w:val="en-US" w:eastAsia="zh-CN"/>
        </w:rPr>
        <w:t xml:space="preserve"> the study phase, RAN1 reply LS [4] provided the data content and typical data size for beam management use case. It can be seen that they are common for UE-sided model and NW-sided model training, but different for inference and monitoring. More details can be further discussed based on RAN1 progress.</w:t>
      </w:r>
    </w:p>
    <w:tbl>
      <w:tblPr>
        <w:tblStyle w:val="15"/>
        <w:tblW w:w="987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2497"/>
        <w:gridCol w:w="1890"/>
        <w:gridCol w:w="1530"/>
        <w:gridCol w:w="1620"/>
      </w:tblGrid>
      <w:tr w14:paraId="7728A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trPr>
        <w:tc>
          <w:tcPr>
            <w:tcW w:w="1170" w:type="dxa"/>
            <w:shd w:val="clear" w:color="auto" w:fill="auto"/>
          </w:tcPr>
          <w:p w14:paraId="074DA61B">
            <w:pPr>
              <w:spacing w:before="120" w:line="312" w:lineRule="auto"/>
              <w:rPr>
                <w:rFonts w:hint="default" w:ascii="Arial" w:hAnsi="Arial" w:eastAsia="宋体" w:cs="Arial"/>
                <w:b/>
                <w:sz w:val="18"/>
                <w:szCs w:val="18"/>
              </w:rPr>
            </w:pPr>
            <w:r>
              <w:rPr>
                <w:rFonts w:hint="default" w:ascii="Arial" w:hAnsi="Arial" w:eastAsia="宋体" w:cs="Arial"/>
                <w:b/>
                <w:bCs/>
                <w:sz w:val="18"/>
                <w:szCs w:val="18"/>
              </w:rPr>
              <w:t>LCM purpose</w:t>
            </w:r>
          </w:p>
        </w:tc>
        <w:tc>
          <w:tcPr>
            <w:tcW w:w="1170" w:type="dxa"/>
            <w:shd w:val="clear" w:color="auto" w:fill="auto"/>
          </w:tcPr>
          <w:p w14:paraId="64B7B7EE">
            <w:pPr>
              <w:spacing w:before="120" w:line="312" w:lineRule="auto"/>
              <w:rPr>
                <w:rFonts w:hint="default" w:ascii="Arial" w:hAnsi="Arial" w:eastAsia="宋体" w:cs="Arial"/>
                <w:b/>
                <w:bCs/>
                <w:sz w:val="18"/>
                <w:szCs w:val="18"/>
              </w:rPr>
            </w:pPr>
            <w:r>
              <w:rPr>
                <w:rFonts w:hint="default" w:ascii="Arial" w:hAnsi="Arial" w:eastAsia="宋体" w:cs="Arial"/>
                <w:b/>
                <w:bCs/>
                <w:sz w:val="18"/>
                <w:szCs w:val="18"/>
              </w:rPr>
              <w:t>UE-side/NW-side models</w:t>
            </w:r>
          </w:p>
        </w:tc>
        <w:tc>
          <w:tcPr>
            <w:tcW w:w="2497" w:type="dxa"/>
            <w:shd w:val="clear" w:color="auto" w:fill="auto"/>
          </w:tcPr>
          <w:p w14:paraId="3C682F5A">
            <w:pPr>
              <w:spacing w:before="120" w:line="312" w:lineRule="auto"/>
              <w:rPr>
                <w:rFonts w:hint="default" w:ascii="Arial" w:hAnsi="Arial" w:eastAsia="宋体" w:cs="Arial"/>
                <w:b/>
                <w:sz w:val="18"/>
                <w:szCs w:val="18"/>
              </w:rPr>
            </w:pPr>
            <w:r>
              <w:rPr>
                <w:rFonts w:hint="default" w:ascii="Arial" w:hAnsi="Arial" w:eastAsia="宋体" w:cs="Arial"/>
                <w:b/>
                <w:sz w:val="18"/>
                <w:szCs w:val="18"/>
              </w:rPr>
              <w:t>Data content</w:t>
            </w:r>
          </w:p>
        </w:tc>
        <w:tc>
          <w:tcPr>
            <w:tcW w:w="1890" w:type="dxa"/>
            <w:shd w:val="clear" w:color="auto" w:fill="auto"/>
          </w:tcPr>
          <w:p w14:paraId="396FC606">
            <w:pPr>
              <w:spacing w:before="120" w:line="312" w:lineRule="auto"/>
              <w:rPr>
                <w:rFonts w:hint="default" w:ascii="Arial" w:hAnsi="Arial" w:eastAsia="宋体" w:cs="Arial"/>
                <w:b/>
                <w:sz w:val="18"/>
                <w:szCs w:val="18"/>
              </w:rPr>
            </w:pPr>
            <w:r>
              <w:rPr>
                <w:rFonts w:hint="default" w:ascii="Arial" w:hAnsi="Arial" w:eastAsia="宋体" w:cs="Arial"/>
                <w:b/>
                <w:bCs/>
                <w:sz w:val="18"/>
                <w:szCs w:val="18"/>
              </w:rPr>
              <w:t>Typical data size (per data sample)</w:t>
            </w:r>
          </w:p>
        </w:tc>
        <w:tc>
          <w:tcPr>
            <w:tcW w:w="1530" w:type="dxa"/>
            <w:shd w:val="clear" w:color="auto" w:fill="auto"/>
          </w:tcPr>
          <w:p w14:paraId="2521C09D">
            <w:pPr>
              <w:spacing w:before="120" w:line="312" w:lineRule="auto"/>
              <w:rPr>
                <w:rFonts w:hint="default" w:ascii="Arial" w:hAnsi="Arial" w:eastAsia="宋体" w:cs="Arial"/>
                <w:b/>
                <w:sz w:val="18"/>
                <w:szCs w:val="18"/>
              </w:rPr>
            </w:pPr>
            <w:r>
              <w:rPr>
                <w:rFonts w:hint="default" w:ascii="Arial" w:hAnsi="Arial" w:eastAsia="宋体" w:cs="Arial"/>
                <w:b/>
                <w:sz w:val="18"/>
                <w:szCs w:val="18"/>
              </w:rPr>
              <w:t>Typical latency requirement</w:t>
            </w:r>
          </w:p>
        </w:tc>
        <w:tc>
          <w:tcPr>
            <w:tcW w:w="1620" w:type="dxa"/>
            <w:shd w:val="clear" w:color="auto" w:fill="auto"/>
          </w:tcPr>
          <w:p w14:paraId="59E38519">
            <w:pPr>
              <w:spacing w:before="120" w:line="312" w:lineRule="auto"/>
              <w:rPr>
                <w:rFonts w:hint="default" w:ascii="Arial" w:hAnsi="Arial" w:eastAsia="宋体" w:cs="Arial"/>
                <w:b/>
                <w:bCs/>
                <w:sz w:val="18"/>
                <w:szCs w:val="18"/>
              </w:rPr>
            </w:pPr>
            <w:r>
              <w:rPr>
                <w:rFonts w:hint="default" w:ascii="Arial" w:hAnsi="Arial" w:eastAsia="宋体" w:cs="Arial"/>
                <w:b/>
                <w:bCs/>
                <w:sz w:val="18"/>
                <w:szCs w:val="18"/>
              </w:rPr>
              <w:t>Notes</w:t>
            </w:r>
          </w:p>
        </w:tc>
      </w:tr>
      <w:tr w14:paraId="47A16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1170" w:type="dxa"/>
            <w:shd w:val="clear" w:color="auto" w:fill="auto"/>
          </w:tcPr>
          <w:p w14:paraId="1B404691">
            <w:pPr>
              <w:spacing w:before="120" w:line="312" w:lineRule="auto"/>
              <w:rPr>
                <w:rFonts w:hint="default" w:ascii="Arial" w:hAnsi="Arial" w:eastAsia="宋体" w:cs="Arial"/>
                <w:sz w:val="18"/>
                <w:szCs w:val="18"/>
                <w:highlight w:val="none"/>
              </w:rPr>
            </w:pPr>
            <w:r>
              <w:rPr>
                <w:rFonts w:hint="default" w:ascii="Arial" w:hAnsi="Arial" w:eastAsia="宋体" w:cs="Arial"/>
                <w:sz w:val="18"/>
                <w:szCs w:val="18"/>
                <w:highlight w:val="none"/>
              </w:rPr>
              <w:t>Training</w:t>
            </w:r>
          </w:p>
        </w:tc>
        <w:tc>
          <w:tcPr>
            <w:tcW w:w="1170" w:type="dxa"/>
            <w:shd w:val="clear" w:color="auto" w:fill="auto"/>
          </w:tcPr>
          <w:p w14:paraId="1C029497">
            <w:pPr>
              <w:spacing w:before="120" w:line="312" w:lineRule="auto"/>
              <w:rPr>
                <w:rFonts w:hint="default" w:ascii="Arial" w:hAnsi="Arial" w:eastAsia="宋体" w:cs="Arial"/>
                <w:sz w:val="18"/>
                <w:szCs w:val="18"/>
                <w:highlight w:val="none"/>
              </w:rPr>
            </w:pPr>
            <w:r>
              <w:rPr>
                <w:rFonts w:hint="default" w:ascii="Arial" w:hAnsi="Arial" w:eastAsia="宋体" w:cs="Arial"/>
                <w:sz w:val="18"/>
                <w:szCs w:val="18"/>
                <w:highlight w:val="none"/>
              </w:rPr>
              <w:t>UE-side, NW-side</w:t>
            </w:r>
          </w:p>
        </w:tc>
        <w:tc>
          <w:tcPr>
            <w:tcW w:w="2497" w:type="dxa"/>
            <w:shd w:val="clear" w:color="auto" w:fill="auto"/>
          </w:tcPr>
          <w:p w14:paraId="32D72CF4">
            <w:pPr>
              <w:spacing w:before="120" w:line="312" w:lineRule="auto"/>
              <w:rPr>
                <w:rFonts w:hint="default" w:ascii="Arial" w:hAnsi="Arial" w:eastAsia="宋体" w:cs="Arial"/>
                <w:sz w:val="18"/>
                <w:szCs w:val="18"/>
              </w:rPr>
            </w:pPr>
            <w:r>
              <w:rPr>
                <w:rFonts w:hint="default" w:ascii="Arial" w:hAnsi="Arial" w:eastAsia="宋体" w:cs="Arial"/>
                <w:sz w:val="18"/>
                <w:szCs w:val="18"/>
              </w:rPr>
              <w:t>L1-RSRPs and/or beam-IDs</w:t>
            </w:r>
          </w:p>
        </w:tc>
        <w:tc>
          <w:tcPr>
            <w:tcW w:w="1890" w:type="dxa"/>
            <w:shd w:val="clear" w:color="auto" w:fill="auto"/>
          </w:tcPr>
          <w:p w14:paraId="29EFA058">
            <w:pPr>
              <w:spacing w:before="120" w:line="312" w:lineRule="auto"/>
              <w:rPr>
                <w:rFonts w:hint="default" w:ascii="Arial" w:hAnsi="Arial" w:eastAsia="宋体" w:cs="Arial"/>
                <w:sz w:val="18"/>
                <w:szCs w:val="18"/>
              </w:rPr>
            </w:pPr>
            <w:r>
              <w:rPr>
                <w:rFonts w:hint="default" w:ascii="Arial" w:hAnsi="Arial" w:eastAsia="宋体" w:cs="Arial"/>
                <w:sz w:val="18"/>
                <w:szCs w:val="18"/>
              </w:rPr>
              <w:t>See Note 1 for L1-RSRPs</w:t>
            </w:r>
          </w:p>
        </w:tc>
        <w:tc>
          <w:tcPr>
            <w:tcW w:w="1530" w:type="dxa"/>
            <w:shd w:val="clear" w:color="auto" w:fill="auto"/>
          </w:tcPr>
          <w:p w14:paraId="2A8B0E18">
            <w:pPr>
              <w:spacing w:before="120" w:line="312" w:lineRule="auto"/>
              <w:rPr>
                <w:rFonts w:hint="default" w:ascii="Arial" w:hAnsi="Arial" w:eastAsia="宋体" w:cs="Arial"/>
                <w:sz w:val="18"/>
                <w:szCs w:val="18"/>
              </w:rPr>
            </w:pPr>
            <w:r>
              <w:rPr>
                <w:rFonts w:hint="default" w:ascii="Arial" w:hAnsi="Arial" w:eastAsia="宋体" w:cs="Arial"/>
                <w:sz w:val="18"/>
                <w:szCs w:val="18"/>
              </w:rPr>
              <w:t>Relaxed</w:t>
            </w:r>
          </w:p>
        </w:tc>
        <w:tc>
          <w:tcPr>
            <w:tcW w:w="1620" w:type="dxa"/>
            <w:shd w:val="clear" w:color="auto" w:fill="auto"/>
          </w:tcPr>
          <w:p w14:paraId="4E8F5E2D">
            <w:pPr>
              <w:spacing w:before="120" w:line="312" w:lineRule="auto"/>
              <w:rPr>
                <w:rFonts w:hint="default" w:ascii="Arial" w:hAnsi="Arial" w:eastAsia="宋体" w:cs="Arial"/>
                <w:sz w:val="18"/>
                <w:szCs w:val="18"/>
              </w:rPr>
            </w:pPr>
          </w:p>
        </w:tc>
      </w:tr>
      <w:tr w14:paraId="311B0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170" w:type="dxa"/>
            <w:vMerge w:val="restart"/>
            <w:shd w:val="clear" w:color="auto" w:fill="auto"/>
          </w:tcPr>
          <w:p w14:paraId="152E52F3">
            <w:pPr>
              <w:spacing w:before="120" w:line="312" w:lineRule="auto"/>
              <w:rPr>
                <w:rFonts w:hint="default" w:ascii="Arial" w:hAnsi="Arial" w:eastAsia="宋体" w:cs="Arial"/>
                <w:sz w:val="18"/>
                <w:szCs w:val="18"/>
              </w:rPr>
            </w:pPr>
            <w:r>
              <w:rPr>
                <w:rFonts w:hint="default" w:ascii="Arial" w:hAnsi="Arial" w:eastAsia="宋体" w:cs="Arial"/>
                <w:sz w:val="18"/>
                <w:szCs w:val="18"/>
              </w:rPr>
              <w:t>Inference</w:t>
            </w:r>
          </w:p>
        </w:tc>
        <w:tc>
          <w:tcPr>
            <w:tcW w:w="1170" w:type="dxa"/>
            <w:shd w:val="clear" w:color="auto" w:fill="auto"/>
          </w:tcPr>
          <w:p w14:paraId="2A087036">
            <w:pPr>
              <w:spacing w:before="120" w:line="312" w:lineRule="auto"/>
              <w:rPr>
                <w:rFonts w:hint="default" w:ascii="Arial" w:hAnsi="Arial" w:eastAsia="宋体" w:cs="Arial"/>
                <w:sz w:val="18"/>
                <w:szCs w:val="18"/>
              </w:rPr>
            </w:pPr>
            <w:r>
              <w:rPr>
                <w:rFonts w:hint="default" w:ascii="Arial" w:hAnsi="Arial" w:eastAsia="宋体" w:cs="Arial"/>
                <w:sz w:val="18"/>
                <w:szCs w:val="18"/>
              </w:rPr>
              <w:t>UE-side</w:t>
            </w:r>
          </w:p>
        </w:tc>
        <w:tc>
          <w:tcPr>
            <w:tcW w:w="2497" w:type="dxa"/>
            <w:shd w:val="clear" w:color="auto" w:fill="auto"/>
          </w:tcPr>
          <w:p w14:paraId="7A6B7164">
            <w:pPr>
              <w:tabs>
                <w:tab w:val="left" w:pos="1440"/>
              </w:tabs>
              <w:spacing w:line="276" w:lineRule="auto"/>
              <w:contextualSpacing/>
              <w:jc w:val="both"/>
              <w:rPr>
                <w:rFonts w:hint="default" w:ascii="Arial" w:hAnsi="Arial" w:eastAsia="宋体" w:cs="Arial"/>
                <w:sz w:val="18"/>
                <w:szCs w:val="18"/>
              </w:rPr>
            </w:pPr>
            <w:r>
              <w:rPr>
                <w:rFonts w:hint="default" w:ascii="Arial" w:hAnsi="Arial" w:eastAsia="宋体" w:cs="Arial"/>
                <w:sz w:val="18"/>
                <w:szCs w:val="18"/>
              </w:rPr>
              <w:t>Beam prediction results</w:t>
            </w:r>
          </w:p>
          <w:p w14:paraId="3726F738">
            <w:pPr>
              <w:tabs>
                <w:tab w:val="left" w:pos="1440"/>
              </w:tabs>
              <w:spacing w:line="276" w:lineRule="auto"/>
              <w:contextualSpacing/>
              <w:jc w:val="both"/>
              <w:rPr>
                <w:rFonts w:hint="default" w:ascii="Arial" w:hAnsi="Arial" w:eastAsia="宋体" w:cs="Arial"/>
                <w:sz w:val="18"/>
                <w:szCs w:val="18"/>
              </w:rPr>
            </w:pPr>
          </w:p>
        </w:tc>
        <w:tc>
          <w:tcPr>
            <w:tcW w:w="1890" w:type="dxa"/>
            <w:shd w:val="clear" w:color="auto" w:fill="auto"/>
          </w:tcPr>
          <w:p w14:paraId="57F9A9EC">
            <w:pPr>
              <w:spacing w:before="120" w:line="312" w:lineRule="auto"/>
              <w:rPr>
                <w:rFonts w:hint="default" w:ascii="Arial" w:hAnsi="Arial" w:eastAsia="宋体" w:cs="Arial"/>
                <w:sz w:val="18"/>
                <w:szCs w:val="18"/>
              </w:rPr>
            </w:pPr>
            <w:r>
              <w:rPr>
                <w:rFonts w:hint="default" w:ascii="Arial" w:hAnsi="Arial" w:eastAsia="宋体" w:cs="Arial"/>
                <w:sz w:val="18"/>
                <w:szCs w:val="18"/>
              </w:rPr>
              <w:t>Small (10s of bits)</w:t>
            </w:r>
          </w:p>
        </w:tc>
        <w:tc>
          <w:tcPr>
            <w:tcW w:w="1530" w:type="dxa"/>
            <w:shd w:val="clear" w:color="auto" w:fill="auto"/>
          </w:tcPr>
          <w:p w14:paraId="5E8C0D41">
            <w:pPr>
              <w:spacing w:before="120" w:line="312" w:lineRule="auto"/>
              <w:rPr>
                <w:rFonts w:hint="default" w:ascii="Arial" w:hAnsi="Arial" w:eastAsia="宋体" w:cs="Arial"/>
                <w:sz w:val="18"/>
                <w:szCs w:val="18"/>
              </w:rPr>
            </w:pPr>
            <w:r>
              <w:rPr>
                <w:rFonts w:hint="default" w:ascii="Arial" w:hAnsi="Arial" w:eastAsia="宋体" w:cs="Arial"/>
                <w:sz w:val="18"/>
                <w:szCs w:val="18"/>
              </w:rPr>
              <w:t>Time-critical</w:t>
            </w:r>
          </w:p>
        </w:tc>
        <w:tc>
          <w:tcPr>
            <w:tcW w:w="1620" w:type="dxa"/>
            <w:vMerge w:val="restart"/>
            <w:shd w:val="clear" w:color="auto" w:fill="auto"/>
          </w:tcPr>
          <w:p w14:paraId="6B5E5469">
            <w:pPr>
              <w:spacing w:before="120" w:line="312" w:lineRule="auto"/>
              <w:rPr>
                <w:rFonts w:hint="default" w:ascii="Arial" w:hAnsi="Arial" w:eastAsia="宋体" w:cs="Arial"/>
                <w:sz w:val="18"/>
                <w:szCs w:val="18"/>
              </w:rPr>
            </w:pPr>
            <w:r>
              <w:rPr>
                <w:rFonts w:hint="default" w:ascii="Arial" w:hAnsi="Arial" w:eastAsia="宋体" w:cs="Arial"/>
                <w:sz w:val="18"/>
                <w:szCs w:val="18"/>
              </w:rPr>
              <w:t>RAN1 has agreed to consider L1 signalling for this reporting</w:t>
            </w:r>
          </w:p>
        </w:tc>
      </w:tr>
      <w:tr w14:paraId="0E581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170" w:type="dxa"/>
            <w:vMerge w:val="continue"/>
            <w:shd w:val="clear" w:color="auto" w:fill="auto"/>
          </w:tcPr>
          <w:p w14:paraId="15C6D2BA">
            <w:pPr>
              <w:spacing w:before="120" w:line="312" w:lineRule="auto"/>
              <w:rPr>
                <w:rFonts w:hint="default" w:ascii="Arial" w:hAnsi="Arial" w:eastAsia="宋体" w:cs="Arial"/>
                <w:sz w:val="18"/>
                <w:szCs w:val="18"/>
              </w:rPr>
            </w:pPr>
          </w:p>
        </w:tc>
        <w:tc>
          <w:tcPr>
            <w:tcW w:w="1170" w:type="dxa"/>
            <w:shd w:val="clear" w:color="auto" w:fill="auto"/>
          </w:tcPr>
          <w:p w14:paraId="7C3EB709">
            <w:pPr>
              <w:spacing w:before="120" w:line="312" w:lineRule="auto"/>
              <w:rPr>
                <w:rFonts w:hint="default" w:ascii="Arial" w:hAnsi="Arial" w:eastAsia="宋体" w:cs="Arial"/>
                <w:sz w:val="18"/>
                <w:szCs w:val="18"/>
              </w:rPr>
            </w:pPr>
            <w:r>
              <w:rPr>
                <w:rFonts w:hint="default" w:ascii="Arial" w:hAnsi="Arial" w:eastAsia="宋体" w:cs="Arial"/>
                <w:sz w:val="18"/>
                <w:szCs w:val="18"/>
              </w:rPr>
              <w:t>NW-side</w:t>
            </w:r>
          </w:p>
        </w:tc>
        <w:tc>
          <w:tcPr>
            <w:tcW w:w="2497" w:type="dxa"/>
            <w:shd w:val="clear" w:color="auto" w:fill="auto"/>
          </w:tcPr>
          <w:p w14:paraId="552A0CD2">
            <w:pPr>
              <w:tabs>
                <w:tab w:val="left" w:pos="1440"/>
              </w:tabs>
              <w:spacing w:line="276" w:lineRule="auto"/>
              <w:contextualSpacing/>
              <w:jc w:val="both"/>
              <w:rPr>
                <w:rFonts w:hint="default" w:ascii="Arial" w:hAnsi="Arial" w:cs="Arial"/>
                <w:kern w:val="24"/>
                <w:sz w:val="18"/>
                <w:szCs w:val="18"/>
              </w:rPr>
            </w:pPr>
            <w:r>
              <w:rPr>
                <w:rFonts w:hint="default" w:ascii="Arial" w:hAnsi="Arial" w:eastAsia="宋体" w:cs="Arial"/>
                <w:sz w:val="18"/>
                <w:szCs w:val="18"/>
              </w:rPr>
              <w:t>L1-RSRPs, and Beam-IDs if needed, for Set B</w:t>
            </w:r>
          </w:p>
        </w:tc>
        <w:tc>
          <w:tcPr>
            <w:tcW w:w="1890" w:type="dxa"/>
            <w:shd w:val="clear" w:color="auto" w:fill="auto"/>
          </w:tcPr>
          <w:p w14:paraId="1B57F068">
            <w:pPr>
              <w:spacing w:before="120" w:line="312" w:lineRule="auto"/>
              <w:rPr>
                <w:rFonts w:hint="default" w:ascii="Arial" w:hAnsi="Arial" w:eastAsia="宋体" w:cs="Arial"/>
                <w:strike/>
                <w:sz w:val="18"/>
                <w:szCs w:val="18"/>
              </w:rPr>
            </w:pPr>
            <w:r>
              <w:rPr>
                <w:rFonts w:hint="default" w:ascii="Arial" w:hAnsi="Arial" w:eastAsia="宋体" w:cs="Arial"/>
                <w:sz w:val="18"/>
                <w:szCs w:val="18"/>
              </w:rPr>
              <w:t>See Note 1 for L1-RSRPs</w:t>
            </w:r>
          </w:p>
        </w:tc>
        <w:tc>
          <w:tcPr>
            <w:tcW w:w="1530" w:type="dxa"/>
            <w:shd w:val="clear" w:color="auto" w:fill="auto"/>
          </w:tcPr>
          <w:p w14:paraId="07F7DE51">
            <w:pPr>
              <w:spacing w:before="120" w:line="312" w:lineRule="auto"/>
              <w:rPr>
                <w:rFonts w:hint="default" w:ascii="Arial" w:hAnsi="Arial" w:eastAsia="宋体" w:cs="Arial"/>
                <w:sz w:val="18"/>
                <w:szCs w:val="18"/>
              </w:rPr>
            </w:pPr>
            <w:r>
              <w:rPr>
                <w:rFonts w:hint="default" w:ascii="Arial" w:hAnsi="Arial" w:eastAsia="宋体" w:cs="Arial"/>
                <w:sz w:val="18"/>
                <w:szCs w:val="18"/>
              </w:rPr>
              <w:t>Time-critical</w:t>
            </w:r>
          </w:p>
        </w:tc>
        <w:tc>
          <w:tcPr>
            <w:tcW w:w="1620" w:type="dxa"/>
            <w:vMerge w:val="continue"/>
            <w:shd w:val="clear" w:color="auto" w:fill="auto"/>
          </w:tcPr>
          <w:p w14:paraId="662DF2F0">
            <w:pPr>
              <w:spacing w:before="120" w:line="312" w:lineRule="auto"/>
              <w:rPr>
                <w:rFonts w:hint="default" w:ascii="Arial" w:hAnsi="Arial" w:eastAsia="宋体" w:cs="Arial"/>
                <w:sz w:val="18"/>
                <w:szCs w:val="18"/>
              </w:rPr>
            </w:pPr>
          </w:p>
        </w:tc>
      </w:tr>
      <w:tr w14:paraId="4CDF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70" w:type="dxa"/>
            <w:vMerge w:val="restart"/>
            <w:shd w:val="clear" w:color="auto" w:fill="auto"/>
          </w:tcPr>
          <w:p w14:paraId="4484DF0A">
            <w:pPr>
              <w:spacing w:before="120" w:line="312" w:lineRule="auto"/>
              <w:rPr>
                <w:rFonts w:hint="default" w:ascii="Arial" w:hAnsi="Arial" w:eastAsia="宋体" w:cs="Arial"/>
                <w:sz w:val="18"/>
                <w:szCs w:val="18"/>
              </w:rPr>
            </w:pPr>
            <w:r>
              <w:rPr>
                <w:rFonts w:hint="default" w:ascii="Arial" w:hAnsi="Arial" w:eastAsia="宋体" w:cs="Arial"/>
                <w:sz w:val="18"/>
                <w:szCs w:val="18"/>
              </w:rPr>
              <w:t>Monitoring</w:t>
            </w:r>
          </w:p>
        </w:tc>
        <w:tc>
          <w:tcPr>
            <w:tcW w:w="1170" w:type="dxa"/>
            <w:shd w:val="clear" w:color="auto" w:fill="auto"/>
          </w:tcPr>
          <w:p w14:paraId="16F27AB6">
            <w:pPr>
              <w:spacing w:before="120" w:line="312" w:lineRule="auto"/>
              <w:rPr>
                <w:rFonts w:hint="default" w:ascii="Arial" w:hAnsi="Arial" w:eastAsia="宋体" w:cs="Arial"/>
                <w:sz w:val="18"/>
                <w:szCs w:val="18"/>
              </w:rPr>
            </w:pPr>
            <w:r>
              <w:rPr>
                <w:rFonts w:hint="default" w:ascii="Arial" w:hAnsi="Arial" w:eastAsia="宋体" w:cs="Arial"/>
                <w:sz w:val="18"/>
                <w:szCs w:val="18"/>
              </w:rPr>
              <w:t>UE-side</w:t>
            </w:r>
          </w:p>
        </w:tc>
        <w:tc>
          <w:tcPr>
            <w:tcW w:w="2497" w:type="dxa"/>
            <w:shd w:val="clear" w:color="auto" w:fill="auto"/>
          </w:tcPr>
          <w:p w14:paraId="264DEFB3">
            <w:pPr>
              <w:tabs>
                <w:tab w:val="left" w:pos="1440"/>
              </w:tabs>
              <w:spacing w:line="276" w:lineRule="auto"/>
              <w:contextualSpacing/>
              <w:jc w:val="both"/>
              <w:rPr>
                <w:rFonts w:hint="default" w:ascii="Arial" w:hAnsi="Arial" w:eastAsia="Calibri" w:cs="Arial"/>
                <w:sz w:val="18"/>
                <w:szCs w:val="18"/>
              </w:rPr>
            </w:pPr>
            <w:r>
              <w:rPr>
                <w:rFonts w:hint="default" w:ascii="Arial" w:hAnsi="Arial" w:eastAsia="Calibri" w:cs="Arial"/>
                <w:sz w:val="18"/>
                <w:szCs w:val="18"/>
              </w:rPr>
              <w:t>Event occurrence and/or calculated performance metrics (from UE to NW)</w:t>
            </w:r>
          </w:p>
          <w:p w14:paraId="0E91FD88">
            <w:pPr>
              <w:tabs>
                <w:tab w:val="left" w:pos="1440"/>
              </w:tabs>
              <w:spacing w:line="276" w:lineRule="auto"/>
              <w:contextualSpacing/>
              <w:jc w:val="both"/>
              <w:rPr>
                <w:rFonts w:hint="default" w:ascii="Arial" w:hAnsi="Arial" w:eastAsia="宋体" w:cs="Arial"/>
                <w:sz w:val="18"/>
                <w:szCs w:val="18"/>
              </w:rPr>
            </w:pPr>
            <w:r>
              <w:rPr>
                <w:rFonts w:hint="default" w:ascii="Arial" w:hAnsi="Arial" w:eastAsia="Calibri" w:cs="Arial"/>
                <w:sz w:val="18"/>
                <w:szCs w:val="18"/>
              </w:rPr>
              <w:t>See Note 4</w:t>
            </w:r>
          </w:p>
        </w:tc>
        <w:tc>
          <w:tcPr>
            <w:tcW w:w="1890" w:type="dxa"/>
            <w:shd w:val="clear" w:color="auto" w:fill="auto"/>
          </w:tcPr>
          <w:p w14:paraId="3A4C288E">
            <w:pPr>
              <w:spacing w:before="120" w:line="312" w:lineRule="auto"/>
              <w:rPr>
                <w:rFonts w:hint="default" w:ascii="Arial" w:hAnsi="Arial" w:eastAsia="宋体" w:cs="Arial"/>
                <w:sz w:val="18"/>
                <w:szCs w:val="18"/>
              </w:rPr>
            </w:pPr>
            <w:r>
              <w:rPr>
                <w:rFonts w:hint="default" w:ascii="Arial" w:hAnsi="Arial" w:eastAsia="宋体" w:cs="Arial"/>
                <w:sz w:val="18"/>
                <w:szCs w:val="18"/>
              </w:rPr>
              <w:t>Small (10s of bits)</w:t>
            </w:r>
          </w:p>
        </w:tc>
        <w:tc>
          <w:tcPr>
            <w:tcW w:w="1530" w:type="dxa"/>
            <w:shd w:val="clear" w:color="auto" w:fill="auto"/>
          </w:tcPr>
          <w:p w14:paraId="6B612A12">
            <w:pPr>
              <w:spacing w:before="120" w:line="312" w:lineRule="auto"/>
              <w:rPr>
                <w:rFonts w:hint="default" w:ascii="Arial" w:hAnsi="Arial" w:eastAsia="宋体" w:cs="Arial"/>
                <w:sz w:val="18"/>
                <w:szCs w:val="18"/>
              </w:rPr>
            </w:pPr>
            <w:r>
              <w:rPr>
                <w:rFonts w:hint="default" w:ascii="Arial" w:hAnsi="Arial" w:eastAsia="宋体" w:cs="Arial"/>
                <w:sz w:val="18"/>
                <w:szCs w:val="18"/>
              </w:rPr>
              <w:t>Near-real-time</w:t>
            </w:r>
          </w:p>
        </w:tc>
        <w:tc>
          <w:tcPr>
            <w:tcW w:w="1620" w:type="dxa"/>
            <w:shd w:val="clear" w:color="auto" w:fill="auto"/>
          </w:tcPr>
          <w:p w14:paraId="2D2F8D83">
            <w:pPr>
              <w:spacing w:before="120" w:line="312" w:lineRule="auto"/>
              <w:rPr>
                <w:rFonts w:hint="default" w:ascii="Arial" w:hAnsi="Arial" w:eastAsia="宋体" w:cs="Arial"/>
                <w:sz w:val="18"/>
                <w:szCs w:val="18"/>
              </w:rPr>
            </w:pPr>
          </w:p>
        </w:tc>
      </w:tr>
      <w:tr w14:paraId="7FB7C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1170" w:type="dxa"/>
            <w:vMerge w:val="continue"/>
            <w:shd w:val="clear" w:color="auto" w:fill="auto"/>
          </w:tcPr>
          <w:p w14:paraId="452DC3DC">
            <w:pPr>
              <w:spacing w:before="120" w:line="312" w:lineRule="auto"/>
              <w:rPr>
                <w:rFonts w:hint="default" w:ascii="Arial" w:hAnsi="Arial" w:eastAsia="宋体" w:cs="Arial"/>
                <w:sz w:val="18"/>
                <w:szCs w:val="18"/>
              </w:rPr>
            </w:pPr>
          </w:p>
        </w:tc>
        <w:tc>
          <w:tcPr>
            <w:tcW w:w="1170" w:type="dxa"/>
            <w:shd w:val="clear" w:color="auto" w:fill="auto"/>
          </w:tcPr>
          <w:p w14:paraId="68EA1F01">
            <w:pPr>
              <w:spacing w:before="120" w:line="312" w:lineRule="auto"/>
              <w:rPr>
                <w:rFonts w:hint="default" w:ascii="Arial" w:hAnsi="Arial" w:eastAsia="宋体" w:cs="Arial"/>
                <w:sz w:val="18"/>
                <w:szCs w:val="18"/>
              </w:rPr>
            </w:pPr>
            <w:r>
              <w:rPr>
                <w:rFonts w:hint="default" w:ascii="Arial" w:hAnsi="Arial" w:eastAsia="宋体" w:cs="Arial"/>
                <w:sz w:val="18"/>
                <w:szCs w:val="18"/>
              </w:rPr>
              <w:t>UE-side</w:t>
            </w:r>
          </w:p>
        </w:tc>
        <w:tc>
          <w:tcPr>
            <w:tcW w:w="2497" w:type="dxa"/>
            <w:shd w:val="clear" w:color="auto" w:fill="auto"/>
          </w:tcPr>
          <w:p w14:paraId="7A24126A">
            <w:pPr>
              <w:spacing w:before="120" w:line="312" w:lineRule="auto"/>
              <w:rPr>
                <w:rFonts w:hint="default" w:ascii="Arial" w:hAnsi="Arial" w:eastAsia="宋体" w:cs="Arial"/>
                <w:sz w:val="18"/>
                <w:szCs w:val="18"/>
              </w:rPr>
            </w:pPr>
            <w:r>
              <w:rPr>
                <w:rFonts w:hint="default" w:ascii="Arial" w:hAnsi="Arial" w:eastAsia="宋体" w:cs="Arial"/>
                <w:sz w:val="18"/>
                <w:szCs w:val="18"/>
              </w:rPr>
              <w:t>L1-RSRP(s) and/or beam-ID(s)</w:t>
            </w:r>
          </w:p>
          <w:p w14:paraId="02884B3C">
            <w:pPr>
              <w:tabs>
                <w:tab w:val="left" w:pos="1440"/>
              </w:tabs>
              <w:spacing w:line="276" w:lineRule="auto"/>
              <w:contextualSpacing/>
              <w:jc w:val="both"/>
              <w:rPr>
                <w:rFonts w:hint="default" w:ascii="Arial" w:hAnsi="Arial" w:eastAsia="Calibri" w:cs="Arial"/>
                <w:sz w:val="18"/>
                <w:szCs w:val="18"/>
              </w:rPr>
            </w:pPr>
            <w:r>
              <w:rPr>
                <w:rFonts w:hint="default" w:ascii="Arial" w:hAnsi="Arial" w:eastAsia="Calibri" w:cs="Arial"/>
                <w:sz w:val="18"/>
                <w:szCs w:val="18"/>
              </w:rPr>
              <w:t>See Note 4</w:t>
            </w:r>
          </w:p>
        </w:tc>
        <w:tc>
          <w:tcPr>
            <w:tcW w:w="1890" w:type="dxa"/>
            <w:shd w:val="clear" w:color="auto" w:fill="auto"/>
          </w:tcPr>
          <w:p w14:paraId="17797EBC">
            <w:pPr>
              <w:spacing w:before="120" w:line="312" w:lineRule="auto"/>
              <w:rPr>
                <w:rFonts w:hint="default" w:ascii="Arial" w:hAnsi="Arial" w:eastAsia="宋体" w:cs="Arial"/>
                <w:sz w:val="18"/>
                <w:szCs w:val="18"/>
                <w:lang w:eastAsia="zh-CN"/>
              </w:rPr>
            </w:pPr>
            <w:r>
              <w:rPr>
                <w:rFonts w:hint="default" w:ascii="Arial" w:hAnsi="Arial" w:eastAsia="宋体" w:cs="Arial"/>
                <w:sz w:val="18"/>
                <w:szCs w:val="18"/>
                <w:lang w:eastAsia="zh-CN"/>
              </w:rPr>
              <w:t>Up to 10 bits, or up to 100 bits, or up to hundreds of bits.</w:t>
            </w:r>
          </w:p>
          <w:p w14:paraId="00783F25">
            <w:pPr>
              <w:spacing w:before="120" w:line="312" w:lineRule="auto"/>
              <w:rPr>
                <w:rFonts w:hint="default" w:ascii="Arial" w:hAnsi="Arial" w:eastAsia="宋体" w:cs="Arial"/>
                <w:sz w:val="18"/>
                <w:szCs w:val="18"/>
              </w:rPr>
            </w:pPr>
            <w:r>
              <w:rPr>
                <w:rFonts w:hint="default" w:ascii="Arial" w:hAnsi="Arial" w:eastAsia="宋体" w:cs="Arial"/>
                <w:sz w:val="18"/>
                <w:szCs w:val="18"/>
              </w:rPr>
              <w:t>See Note 1 for L1-RSRPs</w:t>
            </w:r>
          </w:p>
        </w:tc>
        <w:tc>
          <w:tcPr>
            <w:tcW w:w="1530" w:type="dxa"/>
            <w:shd w:val="clear" w:color="auto" w:fill="auto"/>
          </w:tcPr>
          <w:p w14:paraId="1B1D952C">
            <w:pPr>
              <w:spacing w:before="120" w:line="312" w:lineRule="auto"/>
              <w:rPr>
                <w:rFonts w:hint="default" w:ascii="Arial" w:hAnsi="Arial" w:eastAsia="宋体" w:cs="Arial"/>
                <w:sz w:val="18"/>
                <w:szCs w:val="18"/>
              </w:rPr>
            </w:pPr>
            <w:r>
              <w:rPr>
                <w:rFonts w:hint="default" w:ascii="Arial" w:hAnsi="Arial" w:eastAsia="宋体" w:cs="Arial"/>
                <w:sz w:val="18"/>
                <w:szCs w:val="18"/>
              </w:rPr>
              <w:t>Near-real-time</w:t>
            </w:r>
          </w:p>
        </w:tc>
        <w:tc>
          <w:tcPr>
            <w:tcW w:w="1620" w:type="dxa"/>
            <w:shd w:val="clear" w:color="auto" w:fill="auto"/>
          </w:tcPr>
          <w:p w14:paraId="0955FDCE">
            <w:pPr>
              <w:spacing w:before="120" w:line="312" w:lineRule="auto"/>
              <w:rPr>
                <w:rFonts w:hint="default" w:ascii="Arial" w:hAnsi="Arial" w:eastAsia="宋体" w:cs="Arial"/>
                <w:sz w:val="18"/>
                <w:szCs w:val="18"/>
              </w:rPr>
            </w:pPr>
          </w:p>
        </w:tc>
      </w:tr>
      <w:tr w14:paraId="4DD0A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170" w:type="dxa"/>
            <w:vMerge w:val="continue"/>
            <w:shd w:val="clear" w:color="auto" w:fill="auto"/>
          </w:tcPr>
          <w:p w14:paraId="669B0EBE">
            <w:pPr>
              <w:spacing w:before="120" w:line="312" w:lineRule="auto"/>
              <w:rPr>
                <w:rFonts w:hint="default" w:ascii="Arial" w:hAnsi="Arial" w:eastAsia="宋体" w:cs="Arial"/>
                <w:b/>
                <w:bCs/>
                <w:sz w:val="18"/>
                <w:szCs w:val="18"/>
              </w:rPr>
            </w:pPr>
          </w:p>
        </w:tc>
        <w:tc>
          <w:tcPr>
            <w:tcW w:w="1170" w:type="dxa"/>
            <w:shd w:val="clear" w:color="auto" w:fill="auto"/>
          </w:tcPr>
          <w:p w14:paraId="430D37DE">
            <w:pPr>
              <w:spacing w:before="120" w:line="312" w:lineRule="auto"/>
              <w:rPr>
                <w:rFonts w:hint="default" w:ascii="Arial" w:hAnsi="Arial" w:eastAsia="宋体" w:cs="Arial"/>
                <w:sz w:val="18"/>
                <w:szCs w:val="18"/>
              </w:rPr>
            </w:pPr>
            <w:r>
              <w:rPr>
                <w:rFonts w:hint="default" w:ascii="Arial" w:hAnsi="Arial" w:eastAsia="宋体" w:cs="Arial"/>
                <w:sz w:val="18"/>
                <w:szCs w:val="18"/>
              </w:rPr>
              <w:t xml:space="preserve">NW-side </w:t>
            </w:r>
          </w:p>
        </w:tc>
        <w:tc>
          <w:tcPr>
            <w:tcW w:w="2497" w:type="dxa"/>
            <w:shd w:val="clear" w:color="auto" w:fill="auto"/>
          </w:tcPr>
          <w:p w14:paraId="763B8A46">
            <w:pPr>
              <w:spacing w:before="120" w:line="312" w:lineRule="auto"/>
              <w:rPr>
                <w:rFonts w:hint="default" w:ascii="Arial" w:hAnsi="Arial" w:eastAsia="宋体" w:cs="Arial"/>
                <w:sz w:val="18"/>
                <w:szCs w:val="18"/>
              </w:rPr>
            </w:pPr>
            <w:r>
              <w:rPr>
                <w:rFonts w:hint="default" w:ascii="Arial" w:hAnsi="Arial" w:eastAsia="宋体" w:cs="Arial"/>
                <w:sz w:val="18"/>
                <w:szCs w:val="18"/>
              </w:rPr>
              <w:t>L1-RSRP(s) and/or beam-ID(s)</w:t>
            </w:r>
          </w:p>
          <w:p w14:paraId="68CE7D38">
            <w:pPr>
              <w:tabs>
                <w:tab w:val="left" w:pos="1440"/>
              </w:tabs>
              <w:spacing w:line="276" w:lineRule="auto"/>
              <w:contextualSpacing/>
              <w:jc w:val="both"/>
              <w:rPr>
                <w:rFonts w:hint="default" w:ascii="Arial" w:hAnsi="Arial" w:eastAsia="宋体" w:cs="Arial"/>
                <w:sz w:val="18"/>
                <w:szCs w:val="18"/>
              </w:rPr>
            </w:pPr>
          </w:p>
          <w:p w14:paraId="0A27AB2D">
            <w:pPr>
              <w:tabs>
                <w:tab w:val="left" w:pos="1440"/>
              </w:tabs>
              <w:spacing w:line="276" w:lineRule="auto"/>
              <w:contextualSpacing/>
              <w:jc w:val="both"/>
              <w:rPr>
                <w:rFonts w:hint="default" w:ascii="Arial" w:hAnsi="Arial" w:eastAsia="宋体" w:cs="Arial"/>
                <w:sz w:val="18"/>
                <w:szCs w:val="18"/>
              </w:rPr>
            </w:pPr>
            <w:r>
              <w:rPr>
                <w:rFonts w:hint="default" w:ascii="Arial" w:hAnsi="Arial" w:eastAsia="Calibri" w:cs="Arial"/>
                <w:sz w:val="18"/>
                <w:szCs w:val="18"/>
              </w:rPr>
              <w:t>See Note 4</w:t>
            </w:r>
          </w:p>
        </w:tc>
        <w:tc>
          <w:tcPr>
            <w:tcW w:w="1890" w:type="dxa"/>
            <w:shd w:val="clear" w:color="auto" w:fill="auto"/>
          </w:tcPr>
          <w:p w14:paraId="127F05A5">
            <w:pPr>
              <w:spacing w:before="120" w:line="312" w:lineRule="auto"/>
              <w:rPr>
                <w:rFonts w:hint="default" w:ascii="Arial" w:hAnsi="Arial" w:eastAsia="宋体" w:cs="Arial"/>
                <w:sz w:val="18"/>
                <w:szCs w:val="18"/>
                <w:lang w:eastAsia="zh-CN"/>
              </w:rPr>
            </w:pPr>
            <w:r>
              <w:rPr>
                <w:rFonts w:hint="default" w:ascii="Arial" w:hAnsi="Arial" w:eastAsia="宋体" w:cs="Arial"/>
                <w:sz w:val="18"/>
                <w:szCs w:val="18"/>
                <w:lang w:eastAsia="zh-CN"/>
              </w:rPr>
              <w:t>Up to 10 bits, or up to 100 bits, or up to hundreds of bits.</w:t>
            </w:r>
          </w:p>
          <w:p w14:paraId="26B9B281">
            <w:pPr>
              <w:spacing w:before="120" w:line="312" w:lineRule="auto"/>
              <w:rPr>
                <w:rFonts w:hint="default" w:ascii="Arial" w:hAnsi="Arial" w:eastAsia="宋体" w:cs="Arial"/>
                <w:strike/>
                <w:sz w:val="18"/>
                <w:szCs w:val="18"/>
              </w:rPr>
            </w:pPr>
            <w:r>
              <w:rPr>
                <w:rFonts w:hint="default" w:ascii="Arial" w:hAnsi="Arial" w:eastAsia="宋体" w:cs="Arial"/>
                <w:sz w:val="18"/>
                <w:szCs w:val="18"/>
              </w:rPr>
              <w:t>See Note 1 for L1-RSRPs</w:t>
            </w:r>
          </w:p>
        </w:tc>
        <w:tc>
          <w:tcPr>
            <w:tcW w:w="1530" w:type="dxa"/>
            <w:shd w:val="clear" w:color="auto" w:fill="auto"/>
          </w:tcPr>
          <w:p w14:paraId="679F0884">
            <w:pPr>
              <w:spacing w:before="120" w:line="312" w:lineRule="auto"/>
              <w:rPr>
                <w:rFonts w:hint="default" w:ascii="Arial" w:hAnsi="Arial" w:eastAsia="宋体" w:cs="Arial"/>
                <w:sz w:val="18"/>
                <w:szCs w:val="18"/>
              </w:rPr>
            </w:pPr>
            <w:r>
              <w:rPr>
                <w:rFonts w:hint="default" w:ascii="Arial" w:hAnsi="Arial" w:eastAsia="宋体" w:cs="Arial"/>
                <w:sz w:val="18"/>
                <w:szCs w:val="18"/>
              </w:rPr>
              <w:t>Near-real-time</w:t>
            </w:r>
          </w:p>
        </w:tc>
        <w:tc>
          <w:tcPr>
            <w:tcW w:w="1620" w:type="dxa"/>
            <w:shd w:val="clear" w:color="auto" w:fill="auto"/>
          </w:tcPr>
          <w:p w14:paraId="34A64A2D">
            <w:pPr>
              <w:spacing w:before="120" w:line="312" w:lineRule="auto"/>
              <w:rPr>
                <w:rFonts w:hint="default" w:ascii="Arial" w:hAnsi="Arial" w:eastAsia="宋体" w:cs="Arial"/>
                <w:sz w:val="18"/>
                <w:szCs w:val="18"/>
              </w:rPr>
            </w:pPr>
          </w:p>
        </w:tc>
      </w:tr>
    </w:tbl>
    <w:p w14:paraId="68E566DB">
      <w:pPr>
        <w:numPr>
          <w:ilvl w:val="0"/>
          <w:numId w:val="0"/>
        </w:numPr>
        <w:spacing w:before="120" w:beforeLines="50" w:after="120" w:line="260" w:lineRule="exact"/>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8: The data content is common for UE-sided model and NW-sided model training, but different for inference and monitoring. More details can be further discussed based on RAN1 progress.</w:t>
      </w:r>
    </w:p>
    <w:p w14:paraId="6B7FD762">
      <w:pPr>
        <w:numPr>
          <w:ilvl w:val="0"/>
          <w:numId w:val="0"/>
        </w:numPr>
        <w:spacing w:before="120" w:beforeLines="50" w:after="120" w:line="260" w:lineRule="exact"/>
        <w:rPr>
          <w:rFonts w:hint="default" w:ascii="Arial" w:hAnsi="Arial" w:cs="Arial"/>
          <w:b/>
          <w:bCs/>
          <w:sz w:val="20"/>
          <w:szCs w:val="20"/>
          <w:lang w:val="en-US" w:eastAsia="zh-CN"/>
        </w:rPr>
      </w:pPr>
    </w:p>
    <w:p w14:paraId="7E17819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Issue#5: FFS on memory size</w:t>
      </w:r>
    </w:p>
    <w:p w14:paraId="7CF5C19A">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 xml:space="preserve">RAN2 agreed that </w:t>
      </w:r>
      <w:r>
        <w:rPr>
          <w:rFonts w:hint="default" w:ascii="Arial" w:hAnsi="Arial" w:cs="Arial"/>
          <w:sz w:val="20"/>
          <w:szCs w:val="20"/>
          <w:lang w:val="en-US" w:eastAsia="zh-CN"/>
        </w:rPr>
        <w:t xml:space="preserve">UE stores the logged training data at AS layer with a minimum AS layer memory size supported by the UE. </w:t>
      </w:r>
      <w:r>
        <w:rPr>
          <w:rFonts w:hint="eastAsia" w:ascii="Arial" w:hAnsi="Arial" w:cs="Arial"/>
          <w:sz w:val="20"/>
          <w:szCs w:val="20"/>
          <w:lang w:val="en-US" w:eastAsia="zh-CN"/>
        </w:rPr>
        <w:t xml:space="preserve">In legacy logged MDT and QoE measurement, the minimum AS layer memory size is 64KB [5].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67DD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2876909">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TS 38.306, Section 4.2.18</w:t>
            </w:r>
          </w:p>
          <w:tbl>
            <w:tblPr>
              <w:tblStyle w:val="15"/>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553"/>
              <w:gridCol w:w="560"/>
              <w:gridCol w:w="553"/>
              <w:gridCol w:w="1016"/>
              <w:gridCol w:w="957"/>
            </w:tblGrid>
            <w:tr w14:paraId="7502C83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7088" w:type="dxa"/>
                  <w:shd w:val="clear" w:color="auto" w:fill="auto"/>
                  <w:vAlign w:val="top"/>
                </w:tcPr>
                <w:p w14:paraId="0F0556D6">
                  <w:pPr>
                    <w:pStyle w:val="41"/>
                    <w:rPr>
                      <w:rFonts w:ascii="Arial" w:hAnsi="Arial" w:eastAsiaTheme="minorEastAsia" w:cstheme="minorBidi"/>
                      <w:b/>
                      <w:kern w:val="2"/>
                      <w:sz w:val="18"/>
                      <w:szCs w:val="22"/>
                      <w:lang w:val="en-US" w:eastAsia="zh-CN" w:bidi="ar-SA"/>
                    </w:rPr>
                  </w:pPr>
                  <w:r>
                    <w:t>Definitions for parameters</w:t>
                  </w:r>
                </w:p>
              </w:tc>
              <w:tc>
                <w:tcPr>
                  <w:tcW w:w="567" w:type="dxa"/>
                  <w:shd w:val="clear" w:color="auto" w:fill="auto"/>
                  <w:vAlign w:val="top"/>
                </w:tcPr>
                <w:p w14:paraId="707A0BA2">
                  <w:pPr>
                    <w:pStyle w:val="41"/>
                    <w:rPr>
                      <w:rFonts w:ascii="Arial" w:hAnsi="Arial" w:eastAsiaTheme="minorEastAsia" w:cstheme="minorBidi"/>
                      <w:b/>
                      <w:kern w:val="2"/>
                      <w:sz w:val="18"/>
                      <w:szCs w:val="22"/>
                      <w:lang w:val="en-US" w:eastAsia="zh-CN" w:bidi="ar-SA"/>
                    </w:rPr>
                  </w:pPr>
                  <w:r>
                    <w:t>Per</w:t>
                  </w:r>
                </w:p>
              </w:tc>
              <w:tc>
                <w:tcPr>
                  <w:tcW w:w="567" w:type="dxa"/>
                  <w:shd w:val="clear" w:color="auto" w:fill="auto"/>
                  <w:vAlign w:val="top"/>
                </w:tcPr>
                <w:p w14:paraId="5694C82C">
                  <w:pPr>
                    <w:pStyle w:val="41"/>
                    <w:rPr>
                      <w:rFonts w:ascii="Arial" w:hAnsi="Arial" w:eastAsiaTheme="minorEastAsia" w:cstheme="minorBidi"/>
                      <w:b/>
                      <w:kern w:val="2"/>
                      <w:sz w:val="18"/>
                      <w:szCs w:val="22"/>
                      <w:lang w:val="en-US" w:eastAsia="zh-CN" w:bidi="ar-SA"/>
                    </w:rPr>
                  </w:pPr>
                  <w:r>
                    <w:t>M</w:t>
                  </w:r>
                </w:p>
              </w:tc>
              <w:tc>
                <w:tcPr>
                  <w:tcW w:w="709" w:type="dxa"/>
                  <w:shd w:val="clear" w:color="auto" w:fill="auto"/>
                  <w:vAlign w:val="top"/>
                </w:tcPr>
                <w:p w14:paraId="00DA41FD">
                  <w:pPr>
                    <w:pStyle w:val="41"/>
                    <w:rPr>
                      <w:rFonts w:ascii="Arial" w:hAnsi="Arial" w:eastAsiaTheme="minorEastAsia" w:cstheme="minorBidi"/>
                      <w:b/>
                      <w:kern w:val="2"/>
                      <w:sz w:val="18"/>
                      <w:szCs w:val="22"/>
                      <w:lang w:val="en-US" w:eastAsia="zh-CN" w:bidi="ar-SA"/>
                    </w:rPr>
                  </w:pPr>
                  <w:r>
                    <w:t>FDD-TDD DIFF</w:t>
                  </w:r>
                </w:p>
              </w:tc>
              <w:tc>
                <w:tcPr>
                  <w:tcW w:w="708" w:type="dxa"/>
                  <w:shd w:val="clear" w:color="auto" w:fill="auto"/>
                  <w:vAlign w:val="top"/>
                </w:tcPr>
                <w:p w14:paraId="25C85E7C">
                  <w:pPr>
                    <w:pStyle w:val="41"/>
                    <w:rPr>
                      <w:rFonts w:ascii="Arial" w:hAnsi="Arial" w:eastAsiaTheme="minorEastAsia" w:cstheme="minorBidi"/>
                      <w:b/>
                      <w:kern w:val="2"/>
                      <w:sz w:val="18"/>
                      <w:szCs w:val="22"/>
                      <w:lang w:val="en-US" w:eastAsia="zh-CN" w:bidi="ar-SA"/>
                    </w:rPr>
                  </w:pPr>
                  <w:r>
                    <w:t>FR1-FR2 DIFF</w:t>
                  </w:r>
                </w:p>
              </w:tc>
            </w:tr>
            <w:tr w14:paraId="0DDF082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7088" w:type="dxa"/>
                </w:tcPr>
                <w:p w14:paraId="61D6A9A4">
                  <w:pPr>
                    <w:pStyle w:val="40"/>
                    <w:rPr>
                      <w:b/>
                      <w:bCs/>
                      <w:i/>
                      <w:iCs/>
                    </w:rPr>
                  </w:pPr>
                  <w:r>
                    <w:rPr>
                      <w:b/>
                      <w:bCs/>
                      <w:i/>
                      <w:iCs/>
                    </w:rPr>
                    <w:t>loggedMeasurements-r16</w:t>
                  </w:r>
                </w:p>
                <w:p w14:paraId="5F70DC89">
                  <w:pPr>
                    <w:pStyle w:val="40"/>
                    <w:rPr>
                      <w:rFonts w:hint="eastAsia" w:cs="Arial" w:eastAsiaTheme="minorEastAsia"/>
                      <w:szCs w:val="18"/>
                      <w:lang w:val="en-US" w:eastAsia="zh-CN"/>
                    </w:rPr>
                  </w:pPr>
                  <w:r>
                    <w:t xml:space="preserve">Indicates whether the UE supports logged measurements in RRC_IDLE and RRC_INACTIVE. A UE that supports logged measurements shall support both periodical logging and event-triggered logging. </w:t>
                  </w:r>
                  <w:r>
                    <w:rPr>
                      <w:highlight w:val="yellow"/>
                    </w:rPr>
                    <w:t>The memory size of MDT logged measurements is 64KB.</w:t>
                  </w:r>
                  <w:r>
                    <w:rPr>
                      <w:rFonts w:hint="eastAsia"/>
                      <w:highlight w:val="none"/>
                      <w:lang w:val="en-US" w:eastAsia="zh-CN"/>
                    </w:rPr>
                    <w:t xml:space="preserve"> </w:t>
                  </w:r>
                  <w:r>
                    <w:t>For eRedCap UE supporting this feature, the minimum memory size of MDT logged measurements is 16KB.</w:t>
                  </w:r>
                </w:p>
              </w:tc>
              <w:tc>
                <w:tcPr>
                  <w:tcW w:w="567" w:type="dxa"/>
                </w:tcPr>
                <w:p w14:paraId="1F718F1D">
                  <w:pPr>
                    <w:pStyle w:val="40"/>
                    <w:jc w:val="center"/>
                    <w:rPr>
                      <w:rFonts w:cs="Arial"/>
                      <w:szCs w:val="18"/>
                    </w:rPr>
                  </w:pPr>
                  <w:r>
                    <w:rPr>
                      <w:rFonts w:cs="Arial"/>
                      <w:szCs w:val="18"/>
                    </w:rPr>
                    <w:t>UE</w:t>
                  </w:r>
                </w:p>
              </w:tc>
              <w:tc>
                <w:tcPr>
                  <w:tcW w:w="567" w:type="dxa"/>
                </w:tcPr>
                <w:p w14:paraId="624ACEC3">
                  <w:pPr>
                    <w:pStyle w:val="40"/>
                    <w:jc w:val="center"/>
                    <w:rPr>
                      <w:rFonts w:cs="Arial"/>
                      <w:szCs w:val="18"/>
                    </w:rPr>
                  </w:pPr>
                  <w:r>
                    <w:rPr>
                      <w:rFonts w:cs="Arial"/>
                      <w:szCs w:val="18"/>
                    </w:rPr>
                    <w:t>No</w:t>
                  </w:r>
                </w:p>
              </w:tc>
              <w:tc>
                <w:tcPr>
                  <w:tcW w:w="709" w:type="dxa"/>
                </w:tcPr>
                <w:p w14:paraId="075A0CCA">
                  <w:pPr>
                    <w:pStyle w:val="40"/>
                    <w:jc w:val="center"/>
                    <w:rPr>
                      <w:rFonts w:cs="Arial"/>
                      <w:szCs w:val="18"/>
                    </w:rPr>
                  </w:pPr>
                  <w:r>
                    <w:rPr>
                      <w:rFonts w:cs="Arial"/>
                      <w:szCs w:val="18"/>
                    </w:rPr>
                    <w:t>No</w:t>
                  </w:r>
                </w:p>
              </w:tc>
              <w:tc>
                <w:tcPr>
                  <w:tcW w:w="708" w:type="dxa"/>
                </w:tcPr>
                <w:p w14:paraId="3F3605BC">
                  <w:pPr>
                    <w:pStyle w:val="40"/>
                    <w:jc w:val="center"/>
                    <w:rPr>
                      <w:rFonts w:cs="Arial"/>
                      <w:szCs w:val="18"/>
                    </w:rPr>
                  </w:pPr>
                  <w:r>
                    <w:rPr>
                      <w:rFonts w:cs="Arial"/>
                      <w:szCs w:val="18"/>
                    </w:rPr>
                    <w:t>No</w:t>
                  </w:r>
                </w:p>
              </w:tc>
            </w:tr>
          </w:tbl>
          <w:p w14:paraId="5124F216">
            <w:pPr>
              <w:numPr>
                <w:ilvl w:val="0"/>
                <w:numId w:val="0"/>
              </w:numPr>
              <w:spacing w:before="120" w:beforeLines="50" w:after="120" w:line="260" w:lineRule="exact"/>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TS 38.306, Section 6 </w:t>
            </w:r>
          </w:p>
          <w:tbl>
            <w:tblPr>
              <w:tblStyle w:val="15"/>
              <w:tblW w:w="963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4423"/>
              <w:gridCol w:w="5207"/>
            </w:tblGrid>
            <w:tr w14:paraId="46171C8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4423" w:type="dxa"/>
                </w:tcPr>
                <w:p w14:paraId="62AD8BD6">
                  <w:pPr>
                    <w:pStyle w:val="41"/>
                    <w:rPr>
                      <w:rFonts w:cs="Arial"/>
                      <w:szCs w:val="18"/>
                    </w:rPr>
                  </w:pPr>
                  <w:r>
                    <w:rPr>
                      <w:rFonts w:cs="Arial"/>
                      <w:szCs w:val="18"/>
                    </w:rPr>
                    <w:t>Features</w:t>
                  </w:r>
                </w:p>
              </w:tc>
              <w:tc>
                <w:tcPr>
                  <w:tcW w:w="5207" w:type="dxa"/>
                </w:tcPr>
                <w:p w14:paraId="50B98C1B">
                  <w:pPr>
                    <w:pStyle w:val="41"/>
                    <w:rPr>
                      <w:rFonts w:cs="Arial"/>
                      <w:szCs w:val="18"/>
                    </w:rPr>
                  </w:pPr>
                  <w:r>
                    <w:rPr>
                      <w:rFonts w:cs="Arial"/>
                      <w:szCs w:val="18"/>
                    </w:rPr>
                    <w:t>Condition</w:t>
                  </w:r>
                </w:p>
              </w:tc>
            </w:tr>
            <w:tr w14:paraId="3267154C">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Pr>
                <w:p w14:paraId="2523B3CC">
                  <w:pPr>
                    <w:pStyle w:val="40"/>
                  </w:pPr>
                  <w:r>
                    <w:t>AS layer memory size for QoE paused measurement reports</w:t>
                  </w:r>
                </w:p>
              </w:tc>
              <w:tc>
                <w:tcPr>
                  <w:tcW w:w="5207" w:type="dxa"/>
                </w:tcPr>
                <w:p w14:paraId="269B9DDD">
                  <w:pPr>
                    <w:pStyle w:val="40"/>
                  </w:pPr>
                  <w:r>
                    <w:t xml:space="preserve">It is mandatory to support the </w:t>
                  </w:r>
                  <w:r>
                    <w:rPr>
                      <w:highlight w:val="yellow"/>
                    </w:rPr>
                    <w:t>minimum AS layer memory size of 64KB</w:t>
                  </w:r>
                  <w:r>
                    <w:t xml:space="preserve"> for QoE paused measurement reports for UEs which support </w:t>
                  </w:r>
                  <w:r>
                    <w:rPr>
                      <w:i/>
                      <w:iCs/>
                    </w:rPr>
                    <w:t>qoe</w:t>
                  </w:r>
                  <w:r>
                    <w:rPr>
                      <w:i/>
                      <w:iCs/>
                      <w:lang w:eastAsia="zh-CN"/>
                    </w:rPr>
                    <w:t>-Streaming-MeasReport-r17</w:t>
                  </w:r>
                  <w:r>
                    <w:rPr>
                      <w:lang w:eastAsia="zh-CN"/>
                    </w:rPr>
                    <w:t xml:space="preserve">, </w:t>
                  </w:r>
                  <w:r>
                    <w:rPr>
                      <w:i/>
                      <w:iCs/>
                      <w:lang w:eastAsia="zh-CN"/>
                    </w:rPr>
                    <w:t>qoe-MTSI-MeasReport-r17</w:t>
                  </w:r>
                  <w:r>
                    <w:rPr>
                      <w:lang w:eastAsia="zh-CN"/>
                    </w:rPr>
                    <w:t xml:space="preserve"> or </w:t>
                  </w:r>
                  <w:r>
                    <w:rPr>
                      <w:i/>
                      <w:iCs/>
                      <w:lang w:eastAsia="zh-CN"/>
                    </w:rPr>
                    <w:t>qoe-VR-MeasReport-r17</w:t>
                  </w:r>
                  <w:r>
                    <w:rPr>
                      <w:lang w:eastAsia="zh-CN"/>
                    </w:rPr>
                    <w:t>.</w:t>
                  </w:r>
                </w:p>
              </w:tc>
            </w:tr>
            <w:tr w14:paraId="3D4E625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Pr>
                <w:p w14:paraId="3583BBAD">
                  <w:pPr>
                    <w:pStyle w:val="40"/>
                  </w:pPr>
                  <w:r>
                    <w:t>AS layer memory size for QoE measurement reports in RRC_IDLE and RRC_INACTIVE</w:t>
                  </w:r>
                </w:p>
              </w:tc>
              <w:tc>
                <w:tcPr>
                  <w:tcW w:w="5207" w:type="dxa"/>
                </w:tcPr>
                <w:p w14:paraId="39BB1BC4">
                  <w:pPr>
                    <w:pStyle w:val="40"/>
                  </w:pPr>
                  <w:r>
                    <w:t xml:space="preserve">It is mandatory to support the </w:t>
                  </w:r>
                  <w:r>
                    <w:rPr>
                      <w:highlight w:val="yellow"/>
                    </w:rPr>
                    <w:t>minimum AS layer memory size of 64KB</w:t>
                  </w:r>
                  <w:r>
                    <w:t xml:space="preserve"> for QoE measurement reports stored in RRC_IDLE/RRC_INACTIVE for UEs which support </w:t>
                  </w:r>
                  <w:r>
                    <w:rPr>
                      <w:i/>
                      <w:iCs/>
                    </w:rPr>
                    <w:t>qoe-IdleInactiveMeasReport-r18</w:t>
                  </w:r>
                  <w:r>
                    <w:t xml:space="preserve"> and any of </w:t>
                  </w:r>
                  <w:r>
                    <w:rPr>
                      <w:i/>
                      <w:iCs/>
                    </w:rPr>
                    <w:t>qoe-Streaming-MeasReport-r17</w:t>
                  </w:r>
                  <w:r>
                    <w:t xml:space="preserve"> or </w:t>
                  </w:r>
                  <w:r>
                    <w:rPr>
                      <w:i/>
                      <w:iCs/>
                    </w:rPr>
                    <w:t>qoe-MTSI-MeasReport-r17</w:t>
                  </w:r>
                  <w:r>
                    <w:t xml:space="preserve"> or </w:t>
                  </w:r>
                  <w:r>
                    <w:rPr>
                      <w:i/>
                      <w:iCs/>
                    </w:rPr>
                    <w:t>qoe-VR-MeasReport-r17</w:t>
                  </w:r>
                  <w:r>
                    <w:t>. This memory size is additional to "AS layer memory size for QoE paused measurement reports"</w:t>
                  </w:r>
                </w:p>
              </w:tc>
            </w:tr>
          </w:tbl>
          <w:p w14:paraId="72AC7B52">
            <w:pPr>
              <w:numPr>
                <w:ilvl w:val="0"/>
                <w:numId w:val="0"/>
              </w:numPr>
              <w:spacing w:before="120" w:beforeLines="50" w:after="120" w:line="260" w:lineRule="exact"/>
              <w:rPr>
                <w:rFonts w:hint="eastAsia" w:ascii="Arial" w:hAnsi="Arial" w:cs="Arial"/>
                <w:sz w:val="20"/>
                <w:szCs w:val="20"/>
                <w:vertAlign w:val="baseline"/>
                <w:lang w:val="en-US" w:eastAsia="zh-CN"/>
              </w:rPr>
            </w:pPr>
          </w:p>
        </w:tc>
      </w:tr>
    </w:tbl>
    <w:p w14:paraId="4832C50C">
      <w:pPr>
        <w:numPr>
          <w:ilvl w:val="0"/>
          <w:numId w:val="0"/>
        </w:numPr>
        <w:spacing w:before="120" w:beforeLines="50" w:after="120" w:line="260" w:lineRule="exact"/>
        <w:rPr>
          <w:rFonts w:hint="eastAsia" w:ascii="Arial" w:hAnsi="Arial" w:cs="Arial"/>
          <w:sz w:val="20"/>
          <w:szCs w:val="20"/>
          <w:lang w:val="en-US" w:eastAsia="zh-CN"/>
        </w:rPr>
      </w:pPr>
      <w:r>
        <w:rPr>
          <w:rFonts w:hint="eastAsia" w:ascii="Arial" w:hAnsi="Arial" w:cs="Arial"/>
          <w:sz w:val="20"/>
          <w:szCs w:val="20"/>
          <w:lang w:val="en-US" w:eastAsia="zh-CN"/>
        </w:rPr>
        <w:t>For NW data collection, considering there are multiple use cases which needs training data, we think the legacy value is baseline and other larger value is preferred, i.e. the minimum AS layer memory size is at least 64KB.</w:t>
      </w:r>
    </w:p>
    <w:p w14:paraId="6F264246">
      <w:pPr>
        <w:numPr>
          <w:ilvl w:val="0"/>
          <w:numId w:val="0"/>
        </w:numPr>
        <w:spacing w:before="120" w:beforeLines="50" w:after="120" w:line="260" w:lineRule="exact"/>
        <w:rPr>
          <w:rFonts w:hint="default" w:ascii="Arial" w:hAnsi="Arial" w:eastAsia="宋体" w:cs="Arial"/>
          <w:b/>
          <w:bCs/>
          <w:sz w:val="20"/>
          <w:szCs w:val="20"/>
          <w:lang w:val="en-US" w:eastAsia="zh-CN"/>
        </w:rPr>
      </w:pPr>
      <w:r>
        <w:rPr>
          <w:rFonts w:hint="eastAsia" w:ascii="Arial" w:hAnsi="Arial" w:cs="Arial"/>
          <w:b/>
          <w:bCs/>
          <w:sz w:val="20"/>
          <w:szCs w:val="20"/>
          <w:lang w:val="en-US" w:eastAsia="zh-CN"/>
        </w:rPr>
        <w:t>Proposal 9: The minimum AS layer memory size for training data logging is at least 64KB.</w:t>
      </w:r>
    </w:p>
    <w:p w14:paraId="058AD657">
      <w:pPr>
        <w:numPr>
          <w:ilvl w:val="0"/>
          <w:numId w:val="0"/>
        </w:numPr>
        <w:spacing w:before="120" w:beforeLines="50" w:after="120" w:line="240" w:lineRule="auto"/>
        <w:jc w:val="both"/>
        <w:rPr>
          <w:rFonts w:hint="default"/>
          <w:lang w:val="en-US" w:eastAsia="zh-CN"/>
        </w:rPr>
      </w:pPr>
      <w:r>
        <w:rPr>
          <w:rFonts w:hint="eastAsia" w:ascii="Arial" w:hAnsi="Arial" w:cs="Arial"/>
          <w:sz w:val="20"/>
          <w:szCs w:val="20"/>
          <w:lang w:val="en-US" w:eastAsia="zh-CN"/>
        </w:rPr>
        <w:t xml:space="preserve"> </w:t>
      </w:r>
    </w:p>
    <w:p w14:paraId="04B6D025">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75665F39">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NW side data collection</w:t>
      </w:r>
      <w:r>
        <w:rPr>
          <w:rFonts w:ascii="Arial" w:hAnsi="Arial" w:eastAsia="宋体" w:cs="Arial"/>
          <w:kern w:val="0"/>
          <w:sz w:val="20"/>
          <w:szCs w:val="20"/>
          <w:lang w:val="en-GB" w:eastAsia="en-US"/>
        </w:rPr>
        <w:t>.</w:t>
      </w:r>
    </w:p>
    <w:p w14:paraId="0392F64A">
      <w:pPr>
        <w:spacing w:after="120" w:afterLines="50"/>
        <w:rPr>
          <w:rFonts w:hint="eastAsia" w:ascii="Arial" w:hAnsi="Arial" w:cs="Arial"/>
          <w:b/>
          <w:i/>
          <w:iCs/>
          <w:sz w:val="20"/>
          <w:szCs w:val="20"/>
          <w:u w:val="single"/>
        </w:rPr>
      </w:pPr>
      <w:r>
        <w:rPr>
          <w:rFonts w:hint="eastAsia" w:ascii="Arial" w:hAnsi="Arial" w:cs="Arial"/>
          <w:b/>
          <w:bCs/>
          <w:i/>
          <w:iCs/>
          <w:sz w:val="20"/>
          <w:szCs w:val="20"/>
          <w:u w:val="single"/>
          <w:lang w:val="en-US" w:eastAsia="zh-CN"/>
        </w:rPr>
        <w:t>FFS on data availability indication reporting</w:t>
      </w:r>
    </w:p>
    <w:p w14:paraId="12F4EF88">
      <w:pPr>
        <w:numPr>
          <w:ilvl w:val="0"/>
          <w:numId w:val="0"/>
        </w:numPr>
        <w:spacing w:before="120" w:beforeLines="50" w:after="120" w:line="260" w:lineRule="exact"/>
        <w:rPr>
          <w:rFonts w:hint="default" w:ascii="Arial" w:hAnsi="Arial" w:cs="Arial"/>
          <w:b/>
          <w:bCs/>
          <w:sz w:val="20"/>
          <w:szCs w:val="20"/>
          <w:highlight w:val="none"/>
          <w:lang w:val="en-US" w:eastAsia="zh-CN"/>
        </w:rPr>
      </w:pPr>
      <w:r>
        <w:rPr>
          <w:rFonts w:hint="eastAsia" w:ascii="Arial" w:hAnsi="Arial" w:cs="Arial"/>
          <w:b/>
          <w:bCs/>
          <w:sz w:val="20"/>
          <w:szCs w:val="20"/>
          <w:highlight w:val="none"/>
          <w:lang w:val="en-US" w:eastAsia="zh-CN"/>
        </w:rPr>
        <w:t>Observation 1: Considering the latency requirements on data collection for model training is relaxed, the network may not retrieve the data immediately upon receiving the data availability indication. Therefore, if the network delays retrieval, the data collection may be stopped because the buffer is full.</w:t>
      </w:r>
    </w:p>
    <w:p w14:paraId="272AA9B6">
      <w:pPr>
        <w:numPr>
          <w:ilvl w:val="0"/>
          <w:numId w:val="0"/>
        </w:numPr>
        <w:spacing w:before="120" w:beforeLines="50" w:after="120" w:line="260" w:lineRule="exact"/>
        <w:rPr>
          <w:rFonts w:hint="default" w:ascii="Arial" w:hAnsi="Arial" w:cs="Arial"/>
          <w:b/>
          <w:bCs/>
          <w:sz w:val="20"/>
          <w:szCs w:val="20"/>
          <w:highlight w:val="none"/>
          <w:lang w:val="en-US" w:eastAsia="zh-CN"/>
        </w:rPr>
      </w:pPr>
      <w:r>
        <w:rPr>
          <w:rFonts w:hint="eastAsia" w:ascii="Arial" w:hAnsi="Arial" w:cs="Arial"/>
          <w:b/>
          <w:bCs/>
          <w:sz w:val="20"/>
          <w:szCs w:val="20"/>
          <w:highlight w:val="none"/>
          <w:lang w:val="en-US" w:eastAsia="zh-CN"/>
        </w:rPr>
        <w:t>Observation 2: Given the UE's power constraints, continuous data collection is not feasible and interruptions are unavoidable, but the network can aggregate data from multiple UEs to construct a time-continuous dataset.</w:t>
      </w:r>
    </w:p>
    <w:p w14:paraId="15679D54">
      <w:pPr>
        <w:numPr>
          <w:ilvl w:val="0"/>
          <w:numId w:val="0"/>
        </w:numPr>
        <w:spacing w:before="120" w:beforeLines="50" w:after="120" w:line="260" w:lineRule="exact"/>
        <w:rPr>
          <w:rFonts w:hint="default" w:ascii="Arial" w:hAnsi="Arial" w:cs="Arial"/>
          <w:b/>
          <w:bCs/>
          <w:sz w:val="20"/>
          <w:szCs w:val="20"/>
          <w:lang w:val="en-US" w:eastAsia="zh-CN"/>
        </w:rPr>
      </w:pPr>
      <w:r>
        <w:rPr>
          <w:rFonts w:hint="eastAsia" w:ascii="Arial" w:hAnsi="Arial" w:cs="Arial"/>
          <w:b/>
          <w:bCs/>
          <w:sz w:val="20"/>
          <w:szCs w:val="20"/>
          <w:lang w:val="en-US" w:eastAsia="zh-CN"/>
        </w:rPr>
        <w:t>Proposal 1: The data availability indication can be reported to the network after the buffer is full.</w:t>
      </w:r>
    </w:p>
    <w:p w14:paraId="3BE5AE0C">
      <w:pPr>
        <w:numPr>
          <w:ilvl w:val="0"/>
          <w:numId w:val="0"/>
        </w:numPr>
        <w:spacing w:before="120" w:beforeLines="50" w:after="120" w:line="260" w:lineRule="exact"/>
        <w:rPr>
          <w:rFonts w:hint="default" w:ascii="Arial" w:hAnsi="Arial" w:eastAsia="宋体" w:cs="Arial"/>
          <w:b/>
          <w:bCs w:val="0"/>
          <w:sz w:val="20"/>
          <w:szCs w:val="21"/>
          <w:lang w:val="en-US" w:eastAsia="zh-CN"/>
        </w:rPr>
      </w:pPr>
      <w:r>
        <w:rPr>
          <w:rFonts w:hint="eastAsia" w:ascii="Arial" w:hAnsi="Arial" w:eastAsia="宋体" w:cs="Arial"/>
          <w:b/>
          <w:bCs w:val="0"/>
          <w:sz w:val="20"/>
          <w:szCs w:val="21"/>
          <w:lang w:val="en-US" w:eastAsia="zh-CN"/>
        </w:rPr>
        <w:t xml:space="preserve">Proposal 2: The data availability indication can be sent to the network via </w:t>
      </w:r>
      <w:r>
        <w:rPr>
          <w:rFonts w:hint="eastAsia" w:ascii="Arial" w:hAnsi="Arial" w:eastAsia="宋体" w:cs="Arial"/>
          <w:b/>
          <w:bCs w:val="0"/>
          <w:i/>
          <w:iCs/>
          <w:sz w:val="20"/>
          <w:szCs w:val="21"/>
          <w:lang w:val="en-US" w:eastAsia="zh-CN"/>
        </w:rPr>
        <w:t xml:space="preserve">UEAssistanceInformation </w:t>
      </w:r>
      <w:r>
        <w:rPr>
          <w:rFonts w:hint="eastAsia" w:ascii="Arial" w:hAnsi="Arial" w:eastAsia="宋体" w:cs="Arial"/>
          <w:b/>
          <w:bCs w:val="0"/>
          <w:sz w:val="20"/>
          <w:szCs w:val="21"/>
          <w:lang w:val="en-US" w:eastAsia="zh-CN"/>
        </w:rPr>
        <w:t>massage.</w:t>
      </w:r>
    </w:p>
    <w:p w14:paraId="73D08244">
      <w:pPr>
        <w:numPr>
          <w:ilvl w:val="0"/>
          <w:numId w:val="0"/>
        </w:numPr>
        <w:spacing w:before="120" w:beforeLines="50" w:after="120" w:line="260" w:lineRule="exact"/>
        <w:rPr>
          <w:rFonts w:hint="default" w:ascii="Arial" w:hAnsi="Arial" w:cs="Arial"/>
          <w:b/>
          <w:bCs/>
          <w:i w:val="0"/>
          <w:iCs w:val="0"/>
          <w:sz w:val="20"/>
          <w:szCs w:val="20"/>
          <w:lang w:val="en-US" w:eastAsia="zh-CN"/>
        </w:rPr>
      </w:pPr>
      <w:r>
        <w:rPr>
          <w:rFonts w:hint="eastAsia" w:ascii="Arial" w:hAnsi="Arial" w:cs="Arial"/>
          <w:b/>
          <w:bCs/>
          <w:i/>
          <w:iCs/>
          <w:sz w:val="20"/>
          <w:szCs w:val="20"/>
          <w:u w:val="single"/>
          <w:lang w:val="en-US" w:eastAsia="zh-CN"/>
        </w:rPr>
        <w:t>FFS on time stamp</w:t>
      </w:r>
    </w:p>
    <w:p w14:paraId="6D8F1820">
      <w:pPr>
        <w:numPr>
          <w:ilvl w:val="0"/>
          <w:numId w:val="0"/>
        </w:numPr>
        <w:spacing w:before="120" w:beforeLines="50" w:after="120" w:line="260" w:lineRule="exact"/>
        <w:rPr>
          <w:rFonts w:hint="eastAsia" w:ascii="Arial" w:hAnsi="Arial" w:cs="Arial"/>
          <w:b/>
          <w:bCs/>
          <w:i w:val="0"/>
          <w:iCs w:val="0"/>
          <w:sz w:val="20"/>
          <w:szCs w:val="20"/>
          <w:lang w:val="en-US" w:eastAsia="zh-CN"/>
        </w:rPr>
      </w:pPr>
      <w:r>
        <w:rPr>
          <w:rFonts w:hint="eastAsia" w:ascii="Arial" w:hAnsi="Arial" w:cs="Arial"/>
          <w:b/>
          <w:bCs/>
          <w:i w:val="0"/>
          <w:iCs w:val="0"/>
          <w:sz w:val="20"/>
          <w:szCs w:val="20"/>
          <w:lang w:val="en-US" w:eastAsia="zh-CN"/>
        </w:rPr>
        <w:t>Observation 3: The time info is necessary for model training considering the following aspects:</w:t>
      </w:r>
    </w:p>
    <w:p w14:paraId="3CFD09E0">
      <w:pPr>
        <w:numPr>
          <w:ilvl w:val="0"/>
          <w:numId w:val="0"/>
        </w:numPr>
        <w:spacing w:before="120" w:beforeLines="50" w:after="120" w:line="260" w:lineRule="exact"/>
        <w:ind w:leftChars="100"/>
        <w:rPr>
          <w:rFonts w:hint="eastAsia" w:ascii="Arial" w:hAnsi="Arial" w:cs="Arial"/>
          <w:b/>
          <w:bCs/>
          <w:i w:val="0"/>
          <w:iCs w:val="0"/>
          <w:sz w:val="20"/>
          <w:szCs w:val="20"/>
          <w:lang w:val="en-US" w:eastAsia="zh-CN"/>
        </w:rPr>
      </w:pPr>
      <w:r>
        <w:rPr>
          <w:rFonts w:hint="eastAsia" w:ascii="Arial" w:hAnsi="Arial" w:cs="Arial"/>
          <w:b/>
          <w:bCs/>
          <w:i w:val="0"/>
          <w:iCs w:val="0"/>
          <w:sz w:val="20"/>
          <w:szCs w:val="20"/>
          <w:lang w:val="en-US" w:eastAsia="zh-CN"/>
        </w:rPr>
        <w:t>- For event-triggered data collection, the network cannot be aware of when the event is satisfied</w:t>
      </w:r>
    </w:p>
    <w:p w14:paraId="6B653640">
      <w:pPr>
        <w:numPr>
          <w:ilvl w:val="0"/>
          <w:numId w:val="0"/>
        </w:numPr>
        <w:spacing w:before="120" w:beforeLines="50" w:after="120" w:line="260" w:lineRule="exact"/>
        <w:ind w:leftChars="100"/>
        <w:rPr>
          <w:rFonts w:hint="eastAsia" w:ascii="Arial" w:hAnsi="Arial" w:cs="Arial"/>
          <w:b/>
          <w:bCs/>
          <w:i w:val="0"/>
          <w:iCs w:val="0"/>
          <w:sz w:val="20"/>
          <w:szCs w:val="20"/>
          <w:lang w:val="en-US" w:eastAsia="zh-CN"/>
        </w:rPr>
      </w:pPr>
      <w:r>
        <w:rPr>
          <w:rFonts w:hint="eastAsia" w:ascii="Arial" w:hAnsi="Arial" w:cs="Arial"/>
          <w:b/>
          <w:bCs/>
          <w:i w:val="0"/>
          <w:iCs w:val="0"/>
          <w:sz w:val="20"/>
          <w:szCs w:val="20"/>
          <w:lang w:val="en-US" w:eastAsia="zh-CN"/>
        </w:rPr>
        <w:t>- For model training at OAM using datasets from multiple gNBs, OAM cannot be aware of the specific the time information</w:t>
      </w:r>
    </w:p>
    <w:p w14:paraId="56E4A157">
      <w:pPr>
        <w:numPr>
          <w:ilvl w:val="0"/>
          <w:numId w:val="0"/>
        </w:numPr>
        <w:spacing w:before="120" w:beforeLines="50" w:after="120" w:line="260" w:lineRule="exact"/>
        <w:ind w:leftChars="100"/>
        <w:rPr>
          <w:rFonts w:hint="default" w:ascii="Arial" w:hAnsi="Arial" w:cs="Arial"/>
          <w:b/>
          <w:bCs/>
          <w:i w:val="0"/>
          <w:iCs w:val="0"/>
          <w:sz w:val="20"/>
          <w:szCs w:val="20"/>
          <w:lang w:val="en-US" w:eastAsia="zh-CN"/>
        </w:rPr>
      </w:pPr>
      <w:r>
        <w:rPr>
          <w:rFonts w:hint="eastAsia" w:ascii="Arial" w:hAnsi="Arial" w:cs="Arial"/>
          <w:b/>
          <w:bCs/>
          <w:i w:val="0"/>
          <w:iCs w:val="0"/>
          <w:sz w:val="20"/>
          <w:szCs w:val="20"/>
          <w:lang w:val="en-US" w:eastAsia="zh-CN"/>
        </w:rPr>
        <w:t>- For the scenario that UE reports the data collected within serving gNB to target gNB, the target gNB does not have the data collection configuration and cannot cannot be aware of the time info</w:t>
      </w:r>
    </w:p>
    <w:p w14:paraId="0A0E7542">
      <w:pPr>
        <w:numPr>
          <w:ilvl w:val="0"/>
          <w:numId w:val="0"/>
        </w:numPr>
        <w:spacing w:before="120" w:beforeLines="50" w:after="120" w:line="260" w:lineRule="exact"/>
        <w:ind w:leftChars="100"/>
        <w:rPr>
          <w:rFonts w:hint="default" w:ascii="Arial" w:hAnsi="Arial" w:eastAsia="宋体" w:cs="Arial"/>
          <w:b/>
          <w:bCs/>
          <w:sz w:val="20"/>
          <w:szCs w:val="20"/>
          <w:lang w:val="en-US" w:eastAsia="zh-CN"/>
        </w:rPr>
      </w:pPr>
      <w:r>
        <w:rPr>
          <w:rFonts w:hint="eastAsia" w:ascii="Arial" w:hAnsi="Arial" w:cs="Arial"/>
          <w:b/>
          <w:bCs/>
          <w:i w:val="0"/>
          <w:iCs w:val="0"/>
          <w:sz w:val="20"/>
          <w:szCs w:val="20"/>
          <w:lang w:val="en-US" w:eastAsia="zh-CN"/>
        </w:rPr>
        <w:t>- For the cell or beam quality, it can vary at different moments (e.g. at 8 a.m. and 8 p.m.), whether for temporal prediction or spatial prediction</w:t>
      </w:r>
    </w:p>
    <w:p w14:paraId="2800198B">
      <w:pPr>
        <w:spacing w:before="120" w:beforeLines="50" w:after="120" w:line="260" w:lineRule="exact"/>
        <w:rPr>
          <w:rFonts w:hint="eastAsia" w:ascii="Arial" w:hAnsi="Arial" w:cs="Arial"/>
          <w:b/>
          <w:bCs/>
          <w:i w:val="0"/>
          <w:iCs w:val="0"/>
          <w:sz w:val="20"/>
          <w:szCs w:val="20"/>
          <w:lang w:val="en-US" w:eastAsia="zh-CN"/>
        </w:rPr>
      </w:pPr>
      <w:r>
        <w:rPr>
          <w:rFonts w:hint="eastAsia" w:ascii="Arial" w:hAnsi="Arial" w:cs="Arial"/>
          <w:b/>
          <w:bCs/>
          <w:i w:val="0"/>
          <w:iCs w:val="0"/>
          <w:sz w:val="20"/>
          <w:szCs w:val="20"/>
          <w:lang w:val="en-US" w:eastAsia="zh-CN"/>
        </w:rPr>
        <w:t xml:space="preserve">Proposal 3: The time stamp should be included for training data collection, and the similar principle to logged MDT can be reused, i.e. use </w:t>
      </w:r>
      <w:r>
        <w:rPr>
          <w:rFonts w:hint="eastAsia" w:ascii="Arial" w:hAnsi="Arial" w:cs="Arial"/>
          <w:b/>
          <w:bCs/>
          <w:i/>
          <w:iCs/>
          <w:sz w:val="20"/>
          <w:szCs w:val="20"/>
          <w:lang w:val="en-US" w:eastAsia="zh-CN"/>
        </w:rPr>
        <w:t>absoluteTimeStamp</w:t>
      </w:r>
      <w:r>
        <w:rPr>
          <w:rFonts w:hint="eastAsia" w:ascii="Arial" w:hAnsi="Arial" w:cs="Arial"/>
          <w:i w:val="0"/>
          <w:iCs w:val="0"/>
          <w:sz w:val="20"/>
          <w:szCs w:val="20"/>
          <w:lang w:val="en-US" w:eastAsia="zh-CN"/>
        </w:rPr>
        <w:t xml:space="preserve"> </w:t>
      </w:r>
      <w:r>
        <w:rPr>
          <w:rFonts w:hint="eastAsia" w:ascii="Arial" w:hAnsi="Arial" w:cs="Arial"/>
          <w:b/>
          <w:bCs/>
          <w:i w:val="0"/>
          <w:iCs w:val="0"/>
          <w:sz w:val="20"/>
          <w:szCs w:val="20"/>
          <w:lang w:val="en-US" w:eastAsia="zh-CN"/>
        </w:rPr>
        <w:t xml:space="preserve">to indicate the absolute time when the data collection configuration is provided, and use </w:t>
      </w:r>
      <w:r>
        <w:rPr>
          <w:rFonts w:hint="eastAsia" w:ascii="Arial" w:hAnsi="Arial" w:cs="Arial"/>
          <w:b/>
          <w:bCs/>
          <w:i/>
          <w:iCs/>
          <w:sz w:val="20"/>
          <w:szCs w:val="20"/>
          <w:lang w:val="en-US" w:eastAsia="zh-CN"/>
        </w:rPr>
        <w:t>relativeTimeStamp</w:t>
      </w:r>
      <w:r>
        <w:rPr>
          <w:rFonts w:hint="eastAsia" w:ascii="Arial" w:hAnsi="Arial" w:cs="Arial"/>
          <w:b/>
          <w:bCs/>
          <w:i w:val="0"/>
          <w:iCs w:val="0"/>
          <w:sz w:val="20"/>
          <w:szCs w:val="20"/>
          <w:lang w:val="en-US" w:eastAsia="zh-CN"/>
        </w:rPr>
        <w:t xml:space="preserve"> to indicate the time of logged measurement results.</w:t>
      </w:r>
    </w:p>
    <w:p w14:paraId="1CFA493C">
      <w:pPr>
        <w:spacing w:before="120" w:beforeLines="50" w:after="120" w:line="260" w:lineRule="exact"/>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FFS on handing during mobility</w:t>
      </w:r>
    </w:p>
    <w:p w14:paraId="3E14109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Proposal 4: It is proposed to have a unified solution to handle handover, idle/inactive and RLF cases. </w:t>
      </w:r>
    </w:p>
    <w:p w14:paraId="74C5EEE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 xml:space="preserve">Proposal 5: The UE can retain logged data when entering to idle/inactive mode or when RLF occurs, and then can indicate data availability within </w:t>
      </w:r>
      <w:r>
        <w:rPr>
          <w:rFonts w:hint="eastAsia" w:ascii="Arial" w:hAnsi="Arial" w:cs="Arial"/>
          <w:b/>
          <w:bCs w:val="0"/>
          <w:i/>
          <w:iCs/>
          <w:sz w:val="20"/>
          <w:szCs w:val="20"/>
          <w:lang w:val="en-US" w:eastAsia="zh-CN"/>
        </w:rPr>
        <w:t>RRCSetupComplete</w:t>
      </w:r>
      <w:r>
        <w:rPr>
          <w:rFonts w:hint="eastAsia" w:ascii="Arial" w:hAnsi="Arial" w:cs="Arial"/>
          <w:b/>
          <w:bCs w:val="0"/>
          <w:sz w:val="20"/>
          <w:szCs w:val="20"/>
          <w:lang w:val="en-US" w:eastAsia="zh-CN"/>
        </w:rPr>
        <w:t xml:space="preserve">, </w:t>
      </w:r>
      <w:r>
        <w:rPr>
          <w:rFonts w:hint="eastAsia" w:ascii="Arial" w:hAnsi="Arial" w:cs="Arial"/>
          <w:b/>
          <w:bCs w:val="0"/>
          <w:i/>
          <w:iCs/>
          <w:sz w:val="20"/>
          <w:szCs w:val="20"/>
          <w:lang w:val="en-US" w:eastAsia="zh-CN"/>
        </w:rPr>
        <w:t>RRCResumeComplete</w:t>
      </w:r>
      <w:r>
        <w:rPr>
          <w:rFonts w:hint="eastAsia" w:ascii="Arial" w:hAnsi="Arial" w:cs="Arial"/>
          <w:b/>
          <w:bCs w:val="0"/>
          <w:sz w:val="20"/>
          <w:szCs w:val="20"/>
          <w:lang w:val="en-US" w:eastAsia="zh-CN"/>
        </w:rPr>
        <w:t xml:space="preserve">, and </w:t>
      </w:r>
      <w:r>
        <w:rPr>
          <w:rFonts w:hint="eastAsia" w:ascii="Arial" w:hAnsi="Arial" w:cs="Arial"/>
          <w:b/>
          <w:bCs w:val="0"/>
          <w:i/>
          <w:iCs/>
          <w:sz w:val="20"/>
          <w:szCs w:val="20"/>
          <w:lang w:val="en-US" w:eastAsia="zh-CN"/>
        </w:rPr>
        <w:t xml:space="preserve">RRCreestablishmentComplete </w:t>
      </w:r>
      <w:r>
        <w:rPr>
          <w:rFonts w:hint="eastAsia" w:ascii="Arial" w:hAnsi="Arial" w:cs="Arial"/>
          <w:b/>
          <w:bCs w:val="0"/>
          <w:sz w:val="20"/>
          <w:szCs w:val="20"/>
          <w:lang w:val="en-US" w:eastAsia="zh-CN"/>
        </w:rPr>
        <w:t>message.</w:t>
      </w:r>
    </w:p>
    <w:p w14:paraId="5DD5E81C">
      <w:pPr>
        <w:spacing w:before="120" w:beforeLines="50" w:after="120" w:line="260" w:lineRule="exact"/>
        <w:rPr>
          <w:rFonts w:hint="eastAsia" w:ascii="Arial" w:hAnsi="Arial" w:cs="Arial"/>
          <w:b/>
          <w:bCs w:val="0"/>
          <w:sz w:val="20"/>
          <w:szCs w:val="21"/>
          <w:lang w:val="en-US" w:eastAsia="zh-CN"/>
        </w:rPr>
      </w:pPr>
      <w:r>
        <w:rPr>
          <w:rFonts w:hint="eastAsia" w:ascii="Arial" w:hAnsi="Arial" w:cs="Arial"/>
          <w:b/>
          <w:bCs w:val="0"/>
          <w:sz w:val="20"/>
          <w:szCs w:val="21"/>
          <w:lang w:val="en-US" w:eastAsia="zh-CN"/>
        </w:rPr>
        <w:t xml:space="preserve">Proposal 6: The indication can be provided to the UE to retain or release the logged data within </w:t>
      </w:r>
      <w:r>
        <w:rPr>
          <w:rFonts w:hint="eastAsia" w:ascii="Arial" w:hAnsi="Arial" w:cs="Arial"/>
          <w:b w:val="0"/>
          <w:bCs/>
          <w:sz w:val="20"/>
          <w:szCs w:val="21"/>
          <w:lang w:val="en-US" w:eastAsia="zh-CN"/>
        </w:rPr>
        <w:t xml:space="preserve"> </w:t>
      </w:r>
      <w:r>
        <w:rPr>
          <w:rFonts w:hint="eastAsia" w:ascii="Arial" w:hAnsi="Arial" w:cs="Arial"/>
          <w:b/>
          <w:bCs w:val="0"/>
          <w:i/>
          <w:iCs/>
          <w:sz w:val="20"/>
          <w:szCs w:val="21"/>
          <w:lang w:val="en-US" w:eastAsia="zh-CN"/>
        </w:rPr>
        <w:t>HandoverCommand</w:t>
      </w:r>
      <w:r>
        <w:rPr>
          <w:rFonts w:hint="eastAsia" w:ascii="Arial" w:hAnsi="Arial" w:cs="Arial"/>
          <w:b/>
          <w:bCs w:val="0"/>
          <w:sz w:val="20"/>
          <w:szCs w:val="21"/>
          <w:lang w:val="en-US" w:eastAsia="zh-CN"/>
        </w:rPr>
        <w:t xml:space="preserve">, </w:t>
      </w:r>
      <w:r>
        <w:rPr>
          <w:rFonts w:hint="eastAsia" w:ascii="Arial" w:hAnsi="Arial" w:cs="Arial"/>
          <w:b/>
          <w:bCs w:val="0"/>
          <w:i/>
          <w:iCs/>
          <w:sz w:val="20"/>
          <w:szCs w:val="21"/>
          <w:lang w:val="en-US" w:eastAsia="zh-CN"/>
        </w:rPr>
        <w:t>RRCRelease</w:t>
      </w:r>
      <w:r>
        <w:rPr>
          <w:rFonts w:hint="eastAsia" w:ascii="Arial" w:hAnsi="Arial" w:cs="Arial"/>
          <w:b/>
          <w:bCs w:val="0"/>
          <w:sz w:val="20"/>
          <w:szCs w:val="21"/>
          <w:lang w:val="en-US" w:eastAsia="zh-CN"/>
        </w:rPr>
        <w:t xml:space="preserve">, or </w:t>
      </w:r>
      <w:r>
        <w:rPr>
          <w:rFonts w:hint="eastAsia" w:ascii="Arial" w:hAnsi="Arial" w:cs="Arial"/>
          <w:b/>
          <w:bCs w:val="0"/>
          <w:i/>
          <w:iCs/>
          <w:sz w:val="20"/>
          <w:szCs w:val="21"/>
          <w:lang w:val="en-US" w:eastAsia="zh-CN"/>
        </w:rPr>
        <w:t xml:space="preserve">RRCReconfiguration </w:t>
      </w:r>
      <w:r>
        <w:rPr>
          <w:rFonts w:hint="eastAsia" w:ascii="Arial" w:hAnsi="Arial" w:cs="Arial"/>
          <w:b/>
          <w:bCs w:val="0"/>
          <w:sz w:val="20"/>
          <w:szCs w:val="21"/>
          <w:lang w:val="en-US" w:eastAsia="zh-CN"/>
        </w:rPr>
        <w:t>message.</w:t>
      </w:r>
    </w:p>
    <w:p w14:paraId="30481F35">
      <w:pPr>
        <w:spacing w:before="120" w:beforeLines="50" w:after="120" w:line="260" w:lineRule="exact"/>
        <w:rPr>
          <w:rFonts w:hint="eastAsia" w:ascii="Arial" w:hAnsi="Arial" w:cs="Arial"/>
          <w:b/>
          <w:bCs w:val="0"/>
          <w:sz w:val="20"/>
          <w:szCs w:val="21"/>
          <w:lang w:val="en-US" w:eastAsia="zh-CN"/>
        </w:rPr>
      </w:pPr>
      <w:r>
        <w:rPr>
          <w:rFonts w:hint="eastAsia" w:ascii="Arial" w:hAnsi="Arial" w:cs="Arial"/>
          <w:b/>
          <w:bCs w:val="0"/>
          <w:sz w:val="20"/>
          <w:szCs w:val="21"/>
          <w:lang w:val="en-US" w:eastAsia="zh-CN"/>
        </w:rPr>
        <w:t>Proposal 7: The UE retains the logged data for up to 48 hours after the buffer is full.</w:t>
      </w:r>
    </w:p>
    <w:p w14:paraId="1EA31CF3">
      <w:pPr>
        <w:spacing w:before="120" w:beforeLines="50" w:after="120" w:line="260" w:lineRule="exact"/>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Data type for NW sided model and UE sided model</w:t>
      </w:r>
    </w:p>
    <w:p w14:paraId="0309B7AC">
      <w:pPr>
        <w:numPr>
          <w:ilvl w:val="0"/>
          <w:numId w:val="0"/>
        </w:numPr>
        <w:spacing w:before="120" w:beforeLines="50" w:after="120" w:line="260" w:lineRule="exact"/>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8: The data content is common for UE-sided model and NW-sided model training, but different for inference and monitoring. More details can be further discussed based on RAN1 progress.</w:t>
      </w:r>
    </w:p>
    <w:p w14:paraId="4BC2618C">
      <w:pPr>
        <w:spacing w:before="120" w:beforeLines="50" w:after="120" w:line="260" w:lineRule="exact"/>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FFS on memory size</w:t>
      </w:r>
    </w:p>
    <w:p w14:paraId="7DFB5BC5">
      <w:pPr>
        <w:spacing w:before="120" w:beforeLines="50" w:after="120" w:line="260" w:lineRule="exact"/>
        <w:rPr>
          <w:rFonts w:hint="eastAsia" w:ascii="Arial" w:hAnsi="Arial" w:cs="Arial"/>
          <w:b/>
          <w:bCs/>
          <w:i/>
          <w:iCs/>
          <w:sz w:val="20"/>
          <w:szCs w:val="20"/>
          <w:u w:val="single"/>
          <w:lang w:val="en-US" w:eastAsia="zh-CN"/>
        </w:rPr>
      </w:pPr>
      <w:r>
        <w:rPr>
          <w:rFonts w:hint="eastAsia" w:ascii="Arial" w:hAnsi="Arial" w:cs="Arial"/>
          <w:b/>
          <w:bCs/>
          <w:sz w:val="20"/>
          <w:szCs w:val="20"/>
          <w:lang w:val="en-US" w:eastAsia="zh-CN"/>
        </w:rPr>
        <w:t>Proposal 9: The minimum AS layer memory size for training data logging is at least 64KB.</w:t>
      </w:r>
    </w:p>
    <w:p w14:paraId="258A78DE">
      <w:pPr>
        <w:spacing w:before="120" w:beforeLines="50" w:after="120" w:line="260" w:lineRule="exact"/>
        <w:rPr>
          <w:rFonts w:hint="eastAsia" w:ascii="Arial" w:hAnsi="Arial" w:cs="Arial"/>
          <w:b/>
          <w:bCs/>
          <w:i/>
          <w:iCs/>
          <w:sz w:val="20"/>
          <w:szCs w:val="20"/>
          <w:u w:val="single"/>
          <w:lang w:val="en-US" w:eastAsia="zh-CN"/>
        </w:rPr>
      </w:pPr>
    </w:p>
    <w:p w14:paraId="3C7A7E8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89051A9">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9</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3</w:t>
      </w:r>
    </w:p>
    <w:p w14:paraId="61D5A95F">
      <w:pPr>
        <w:widowControl/>
        <w:numPr>
          <w:ilvl w:val="0"/>
          <w:numId w:val="8"/>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TS 38.331 </w:t>
      </w:r>
      <w:r>
        <w:rPr>
          <w:rFonts w:hint="eastAsia" w:ascii="Arial" w:hAnsi="Arial" w:eastAsia="宋体" w:cs="Arial"/>
          <w:kern w:val="0"/>
          <w:sz w:val="20"/>
          <w:szCs w:val="20"/>
        </w:rPr>
        <w:t>NR; Radio Resource Control (RRC) protocol specification</w:t>
      </w:r>
    </w:p>
    <w:p w14:paraId="3D9D2BCE">
      <w:pPr>
        <w:widowControl/>
        <w:numPr>
          <w:ilvl w:val="0"/>
          <w:numId w:val="8"/>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 xml:space="preserve">TS 37.320 </w:t>
      </w:r>
      <w:r>
        <w:rPr>
          <w:rFonts w:hint="eastAsia" w:ascii="Arial" w:hAnsi="Arial" w:eastAsia="宋体" w:cs="Arial"/>
          <w:kern w:val="0"/>
          <w:sz w:val="20"/>
          <w:szCs w:val="20"/>
          <w:lang w:val="en-GB" w:eastAsia="en-US"/>
        </w:rPr>
        <w:t>Radio measurement collection for Minimization of Drive Tests (MDT); Overall description;</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lang w:val="en-GB" w:eastAsia="en-US"/>
        </w:rPr>
        <w:t>Stage 2</w:t>
      </w:r>
    </w:p>
    <w:p w14:paraId="4F98AEA6">
      <w:pPr>
        <w:widowControl/>
        <w:numPr>
          <w:ilvl w:val="0"/>
          <w:numId w:val="8"/>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R1-2310681 Reply LS on Data Collection Requirements and Assumptions</w:t>
      </w:r>
    </w:p>
    <w:p w14:paraId="367E5DD7">
      <w:pPr>
        <w:widowControl/>
        <w:numPr>
          <w:ilvl w:val="0"/>
          <w:numId w:val="8"/>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38.306 NR; User Equipment (UE) radio access capabilities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36965981"/>
    <w:multiLevelType w:val="multilevel"/>
    <w:tmpl w:val="36965981"/>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70146DC0"/>
    <w:multiLevelType w:val="multilevel"/>
    <w:tmpl w:val="70146DC0"/>
    <w:lvl w:ilvl="0" w:tentative="0">
      <w:start w:val="1"/>
      <w:numFmt w:val="bullet"/>
      <w:pStyle w:val="3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31"/>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7"/>
  </w:num>
  <w:num w:numId="4">
    <w:abstractNumId w:val="6"/>
  </w:num>
  <w:num w:numId="5">
    <w:abstractNumId w:val="5"/>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DF3B6E"/>
    <w:rsid w:val="00E00C78"/>
    <w:rsid w:val="00E513DD"/>
    <w:rsid w:val="00E82408"/>
    <w:rsid w:val="00ED765C"/>
    <w:rsid w:val="00EF5EE1"/>
    <w:rsid w:val="00F02DFE"/>
    <w:rsid w:val="00F05AB0"/>
    <w:rsid w:val="00F0760F"/>
    <w:rsid w:val="00F33D13"/>
    <w:rsid w:val="00F34F10"/>
    <w:rsid w:val="00F47D8B"/>
    <w:rsid w:val="00F50B60"/>
    <w:rsid w:val="00F627D0"/>
    <w:rsid w:val="00F841B6"/>
    <w:rsid w:val="00F92EA1"/>
    <w:rsid w:val="00FE674B"/>
    <w:rsid w:val="01041DE1"/>
    <w:rsid w:val="01077E09"/>
    <w:rsid w:val="011A4F78"/>
    <w:rsid w:val="01474FCB"/>
    <w:rsid w:val="016C5974"/>
    <w:rsid w:val="016E658B"/>
    <w:rsid w:val="01840FB9"/>
    <w:rsid w:val="019A01ED"/>
    <w:rsid w:val="019A524E"/>
    <w:rsid w:val="01A0498E"/>
    <w:rsid w:val="01A574CF"/>
    <w:rsid w:val="01A60C1B"/>
    <w:rsid w:val="01CF32DE"/>
    <w:rsid w:val="01DE1CE0"/>
    <w:rsid w:val="01E966BF"/>
    <w:rsid w:val="02395107"/>
    <w:rsid w:val="029B08C6"/>
    <w:rsid w:val="02A424C3"/>
    <w:rsid w:val="02B05971"/>
    <w:rsid w:val="02B71025"/>
    <w:rsid w:val="02EB09CE"/>
    <w:rsid w:val="02FA6D08"/>
    <w:rsid w:val="0300491B"/>
    <w:rsid w:val="030E32B0"/>
    <w:rsid w:val="03190295"/>
    <w:rsid w:val="034F533A"/>
    <w:rsid w:val="03877AE8"/>
    <w:rsid w:val="038A1F16"/>
    <w:rsid w:val="03E34199"/>
    <w:rsid w:val="041A101A"/>
    <w:rsid w:val="041D6583"/>
    <w:rsid w:val="04525A53"/>
    <w:rsid w:val="045D2E23"/>
    <w:rsid w:val="04861CA0"/>
    <w:rsid w:val="04A12BB9"/>
    <w:rsid w:val="04A37BF0"/>
    <w:rsid w:val="04C752EC"/>
    <w:rsid w:val="04F25DBA"/>
    <w:rsid w:val="04F46CEE"/>
    <w:rsid w:val="04FD5053"/>
    <w:rsid w:val="052159E9"/>
    <w:rsid w:val="054134AD"/>
    <w:rsid w:val="055E39C7"/>
    <w:rsid w:val="056C27CB"/>
    <w:rsid w:val="0571089C"/>
    <w:rsid w:val="058844D8"/>
    <w:rsid w:val="059A3C03"/>
    <w:rsid w:val="05AD7C3D"/>
    <w:rsid w:val="05B81468"/>
    <w:rsid w:val="05B92B80"/>
    <w:rsid w:val="05CC288F"/>
    <w:rsid w:val="05D37F8D"/>
    <w:rsid w:val="05DD1BF0"/>
    <w:rsid w:val="05FB3716"/>
    <w:rsid w:val="061355E6"/>
    <w:rsid w:val="06221253"/>
    <w:rsid w:val="063A49AE"/>
    <w:rsid w:val="064F5C41"/>
    <w:rsid w:val="069766D8"/>
    <w:rsid w:val="069A65B0"/>
    <w:rsid w:val="06EA3869"/>
    <w:rsid w:val="06EB297F"/>
    <w:rsid w:val="06F44776"/>
    <w:rsid w:val="071830B3"/>
    <w:rsid w:val="07232B13"/>
    <w:rsid w:val="072E12A5"/>
    <w:rsid w:val="072E4FA9"/>
    <w:rsid w:val="07404B50"/>
    <w:rsid w:val="07474730"/>
    <w:rsid w:val="07554650"/>
    <w:rsid w:val="075F5104"/>
    <w:rsid w:val="076E6440"/>
    <w:rsid w:val="079F7BD5"/>
    <w:rsid w:val="07BA03C9"/>
    <w:rsid w:val="07CC0B7F"/>
    <w:rsid w:val="08077668"/>
    <w:rsid w:val="080B0E60"/>
    <w:rsid w:val="08241B14"/>
    <w:rsid w:val="08346E32"/>
    <w:rsid w:val="083D4534"/>
    <w:rsid w:val="083E559C"/>
    <w:rsid w:val="084F3982"/>
    <w:rsid w:val="08675800"/>
    <w:rsid w:val="0870581B"/>
    <w:rsid w:val="08BD2F14"/>
    <w:rsid w:val="08CB51D0"/>
    <w:rsid w:val="08D80E0C"/>
    <w:rsid w:val="08FE04F3"/>
    <w:rsid w:val="090715AF"/>
    <w:rsid w:val="09085B92"/>
    <w:rsid w:val="093223D0"/>
    <w:rsid w:val="09414F75"/>
    <w:rsid w:val="094470AB"/>
    <w:rsid w:val="094E0A7E"/>
    <w:rsid w:val="09516CF9"/>
    <w:rsid w:val="095A6DFD"/>
    <w:rsid w:val="095E3F14"/>
    <w:rsid w:val="09926330"/>
    <w:rsid w:val="09A24612"/>
    <w:rsid w:val="09AD7F7C"/>
    <w:rsid w:val="09B92009"/>
    <w:rsid w:val="09BB3ACA"/>
    <w:rsid w:val="09C411E9"/>
    <w:rsid w:val="09D63199"/>
    <w:rsid w:val="09F124DC"/>
    <w:rsid w:val="09F8719E"/>
    <w:rsid w:val="0A0C359D"/>
    <w:rsid w:val="0A103B20"/>
    <w:rsid w:val="0A1469F1"/>
    <w:rsid w:val="0A173D8A"/>
    <w:rsid w:val="0A280898"/>
    <w:rsid w:val="0A373271"/>
    <w:rsid w:val="0A382873"/>
    <w:rsid w:val="0A477D88"/>
    <w:rsid w:val="0A78659D"/>
    <w:rsid w:val="0A7B4003"/>
    <w:rsid w:val="0AA35EAE"/>
    <w:rsid w:val="0AAC7074"/>
    <w:rsid w:val="0AB622D1"/>
    <w:rsid w:val="0ADE2342"/>
    <w:rsid w:val="0AE21792"/>
    <w:rsid w:val="0AF33383"/>
    <w:rsid w:val="0AF55015"/>
    <w:rsid w:val="0AFD0EBC"/>
    <w:rsid w:val="0B054A96"/>
    <w:rsid w:val="0B11078A"/>
    <w:rsid w:val="0B5417C7"/>
    <w:rsid w:val="0B7946AA"/>
    <w:rsid w:val="0B7E67EB"/>
    <w:rsid w:val="0B944661"/>
    <w:rsid w:val="0B96175E"/>
    <w:rsid w:val="0BB81E48"/>
    <w:rsid w:val="0BBD7E79"/>
    <w:rsid w:val="0BE427FA"/>
    <w:rsid w:val="0BF550E1"/>
    <w:rsid w:val="0C1038E8"/>
    <w:rsid w:val="0C202296"/>
    <w:rsid w:val="0C415301"/>
    <w:rsid w:val="0C4853AF"/>
    <w:rsid w:val="0C5466CF"/>
    <w:rsid w:val="0C6C1EE0"/>
    <w:rsid w:val="0C7F3E15"/>
    <w:rsid w:val="0CC05689"/>
    <w:rsid w:val="0CD5224C"/>
    <w:rsid w:val="0CE47224"/>
    <w:rsid w:val="0CED527E"/>
    <w:rsid w:val="0D362C45"/>
    <w:rsid w:val="0D711EBE"/>
    <w:rsid w:val="0D771EA7"/>
    <w:rsid w:val="0DA728AC"/>
    <w:rsid w:val="0DAD175B"/>
    <w:rsid w:val="0DB22432"/>
    <w:rsid w:val="0DDF12DC"/>
    <w:rsid w:val="0DE11C21"/>
    <w:rsid w:val="0DE14E46"/>
    <w:rsid w:val="0E034A3B"/>
    <w:rsid w:val="0E3D4FDF"/>
    <w:rsid w:val="0E4A09D7"/>
    <w:rsid w:val="0E56201A"/>
    <w:rsid w:val="0E6E3C34"/>
    <w:rsid w:val="0EAF327B"/>
    <w:rsid w:val="0EE52C9E"/>
    <w:rsid w:val="0F194E44"/>
    <w:rsid w:val="0F1D748A"/>
    <w:rsid w:val="0F4E079B"/>
    <w:rsid w:val="0F501F1A"/>
    <w:rsid w:val="0F732504"/>
    <w:rsid w:val="0F782620"/>
    <w:rsid w:val="0F8A7784"/>
    <w:rsid w:val="0F8C51E0"/>
    <w:rsid w:val="0FB25952"/>
    <w:rsid w:val="0FC803F4"/>
    <w:rsid w:val="10090A65"/>
    <w:rsid w:val="1081433D"/>
    <w:rsid w:val="108B22CD"/>
    <w:rsid w:val="10AC6F3F"/>
    <w:rsid w:val="10C31C47"/>
    <w:rsid w:val="10C64AE7"/>
    <w:rsid w:val="10E107B7"/>
    <w:rsid w:val="10F04644"/>
    <w:rsid w:val="110171B2"/>
    <w:rsid w:val="11171B9A"/>
    <w:rsid w:val="111F30A5"/>
    <w:rsid w:val="112505F6"/>
    <w:rsid w:val="117D375C"/>
    <w:rsid w:val="11900A86"/>
    <w:rsid w:val="119B1CE5"/>
    <w:rsid w:val="11D44799"/>
    <w:rsid w:val="11D65F4E"/>
    <w:rsid w:val="11E4251C"/>
    <w:rsid w:val="11E76EE9"/>
    <w:rsid w:val="11F2137A"/>
    <w:rsid w:val="1236016D"/>
    <w:rsid w:val="123900DB"/>
    <w:rsid w:val="123B6254"/>
    <w:rsid w:val="12527EEB"/>
    <w:rsid w:val="125C6826"/>
    <w:rsid w:val="12934DEA"/>
    <w:rsid w:val="12A73823"/>
    <w:rsid w:val="12B04029"/>
    <w:rsid w:val="12BD5E5F"/>
    <w:rsid w:val="12DA4242"/>
    <w:rsid w:val="12F46AB8"/>
    <w:rsid w:val="130A48C3"/>
    <w:rsid w:val="132303DD"/>
    <w:rsid w:val="1331496D"/>
    <w:rsid w:val="13392934"/>
    <w:rsid w:val="135167B1"/>
    <w:rsid w:val="13583AE1"/>
    <w:rsid w:val="1358580E"/>
    <w:rsid w:val="135A6265"/>
    <w:rsid w:val="136A73BB"/>
    <w:rsid w:val="136F4921"/>
    <w:rsid w:val="13742A14"/>
    <w:rsid w:val="139327D8"/>
    <w:rsid w:val="13A44AF4"/>
    <w:rsid w:val="13A46671"/>
    <w:rsid w:val="13D36FA4"/>
    <w:rsid w:val="13FA68E0"/>
    <w:rsid w:val="13FB17D6"/>
    <w:rsid w:val="14256000"/>
    <w:rsid w:val="1448292D"/>
    <w:rsid w:val="1466786F"/>
    <w:rsid w:val="147E654B"/>
    <w:rsid w:val="14A668A4"/>
    <w:rsid w:val="14A9029F"/>
    <w:rsid w:val="14B83431"/>
    <w:rsid w:val="14E836E8"/>
    <w:rsid w:val="14F142C3"/>
    <w:rsid w:val="150B6FBF"/>
    <w:rsid w:val="15111B9F"/>
    <w:rsid w:val="152B1104"/>
    <w:rsid w:val="154A66B0"/>
    <w:rsid w:val="159C7EDD"/>
    <w:rsid w:val="15BE553B"/>
    <w:rsid w:val="15E03E14"/>
    <w:rsid w:val="15E4550B"/>
    <w:rsid w:val="15E9482E"/>
    <w:rsid w:val="161147C5"/>
    <w:rsid w:val="16327956"/>
    <w:rsid w:val="16473F31"/>
    <w:rsid w:val="16653D7B"/>
    <w:rsid w:val="166A7A3B"/>
    <w:rsid w:val="16725680"/>
    <w:rsid w:val="168B0BBD"/>
    <w:rsid w:val="169C3C7F"/>
    <w:rsid w:val="16A3322F"/>
    <w:rsid w:val="16C120B7"/>
    <w:rsid w:val="16CD3708"/>
    <w:rsid w:val="16D51B5B"/>
    <w:rsid w:val="16D7712F"/>
    <w:rsid w:val="176078E0"/>
    <w:rsid w:val="17654071"/>
    <w:rsid w:val="17704CFB"/>
    <w:rsid w:val="17916AE6"/>
    <w:rsid w:val="179D12F3"/>
    <w:rsid w:val="17AE49E6"/>
    <w:rsid w:val="17CD5A7B"/>
    <w:rsid w:val="17D735CF"/>
    <w:rsid w:val="17FF4932"/>
    <w:rsid w:val="18035F6A"/>
    <w:rsid w:val="1830753E"/>
    <w:rsid w:val="18550589"/>
    <w:rsid w:val="185C58E1"/>
    <w:rsid w:val="186366A3"/>
    <w:rsid w:val="187A66B9"/>
    <w:rsid w:val="187F3411"/>
    <w:rsid w:val="1881324F"/>
    <w:rsid w:val="18A246AF"/>
    <w:rsid w:val="18B26BC9"/>
    <w:rsid w:val="18E21372"/>
    <w:rsid w:val="18F32680"/>
    <w:rsid w:val="18F80417"/>
    <w:rsid w:val="18FE1274"/>
    <w:rsid w:val="192F165F"/>
    <w:rsid w:val="1935061F"/>
    <w:rsid w:val="195230E4"/>
    <w:rsid w:val="19565B90"/>
    <w:rsid w:val="195E3B99"/>
    <w:rsid w:val="196E4FB3"/>
    <w:rsid w:val="19C257AA"/>
    <w:rsid w:val="19C51AEA"/>
    <w:rsid w:val="19CE1BFF"/>
    <w:rsid w:val="19E27BFB"/>
    <w:rsid w:val="19F1587E"/>
    <w:rsid w:val="1A0F54E7"/>
    <w:rsid w:val="1A1C0B7B"/>
    <w:rsid w:val="1A40430B"/>
    <w:rsid w:val="1A4C49E1"/>
    <w:rsid w:val="1A9A126F"/>
    <w:rsid w:val="1AA4601E"/>
    <w:rsid w:val="1ABB3621"/>
    <w:rsid w:val="1ABF7C53"/>
    <w:rsid w:val="1ADE6206"/>
    <w:rsid w:val="1AE14356"/>
    <w:rsid w:val="1AE7452F"/>
    <w:rsid w:val="1AEF3B61"/>
    <w:rsid w:val="1B073464"/>
    <w:rsid w:val="1B0B332F"/>
    <w:rsid w:val="1B5E2B2B"/>
    <w:rsid w:val="1B6202DE"/>
    <w:rsid w:val="1BA06FEE"/>
    <w:rsid w:val="1BB22919"/>
    <w:rsid w:val="1BF27C58"/>
    <w:rsid w:val="1BF91505"/>
    <w:rsid w:val="1C064DE2"/>
    <w:rsid w:val="1C263D41"/>
    <w:rsid w:val="1C4246FD"/>
    <w:rsid w:val="1C6673DB"/>
    <w:rsid w:val="1C6A1BB2"/>
    <w:rsid w:val="1C726F5B"/>
    <w:rsid w:val="1C8658F9"/>
    <w:rsid w:val="1C954CA8"/>
    <w:rsid w:val="1CC529AF"/>
    <w:rsid w:val="1CC914E2"/>
    <w:rsid w:val="1D031FA5"/>
    <w:rsid w:val="1D700D25"/>
    <w:rsid w:val="1DA1677A"/>
    <w:rsid w:val="1DA41341"/>
    <w:rsid w:val="1DA90A2F"/>
    <w:rsid w:val="1DD6639F"/>
    <w:rsid w:val="1DE55E1B"/>
    <w:rsid w:val="1DEA2636"/>
    <w:rsid w:val="1E015BFF"/>
    <w:rsid w:val="1E160478"/>
    <w:rsid w:val="1E261FEC"/>
    <w:rsid w:val="1E4A5D6E"/>
    <w:rsid w:val="1E5D014C"/>
    <w:rsid w:val="1E625159"/>
    <w:rsid w:val="1E6C052F"/>
    <w:rsid w:val="1E8017FF"/>
    <w:rsid w:val="1E8A1312"/>
    <w:rsid w:val="1EB31B66"/>
    <w:rsid w:val="1EB529F8"/>
    <w:rsid w:val="1EC035D7"/>
    <w:rsid w:val="1EC53CB0"/>
    <w:rsid w:val="1ED74678"/>
    <w:rsid w:val="1EF17AB3"/>
    <w:rsid w:val="1F0A0750"/>
    <w:rsid w:val="1F1F4D17"/>
    <w:rsid w:val="1F630DDF"/>
    <w:rsid w:val="1F8A3BD5"/>
    <w:rsid w:val="1FE63CE8"/>
    <w:rsid w:val="20254C14"/>
    <w:rsid w:val="204C2272"/>
    <w:rsid w:val="205E7BE3"/>
    <w:rsid w:val="208A18F1"/>
    <w:rsid w:val="208D63E6"/>
    <w:rsid w:val="20943FF9"/>
    <w:rsid w:val="20A200E4"/>
    <w:rsid w:val="20A506BA"/>
    <w:rsid w:val="20F63843"/>
    <w:rsid w:val="20FE18B0"/>
    <w:rsid w:val="21376EA4"/>
    <w:rsid w:val="213E3F71"/>
    <w:rsid w:val="21513A3C"/>
    <w:rsid w:val="215A766D"/>
    <w:rsid w:val="21667FDB"/>
    <w:rsid w:val="218A4F7E"/>
    <w:rsid w:val="219C1508"/>
    <w:rsid w:val="21BD424A"/>
    <w:rsid w:val="21FA5606"/>
    <w:rsid w:val="22046DF1"/>
    <w:rsid w:val="220A4513"/>
    <w:rsid w:val="22121299"/>
    <w:rsid w:val="222E6DF6"/>
    <w:rsid w:val="22807C0C"/>
    <w:rsid w:val="229575D0"/>
    <w:rsid w:val="22B32E1B"/>
    <w:rsid w:val="22CD6AE0"/>
    <w:rsid w:val="22F37B3A"/>
    <w:rsid w:val="236906A5"/>
    <w:rsid w:val="2375481A"/>
    <w:rsid w:val="23765F46"/>
    <w:rsid w:val="23797368"/>
    <w:rsid w:val="23822B30"/>
    <w:rsid w:val="23B06B01"/>
    <w:rsid w:val="23B828A0"/>
    <w:rsid w:val="23E96088"/>
    <w:rsid w:val="23EE120B"/>
    <w:rsid w:val="23F8406C"/>
    <w:rsid w:val="2403705B"/>
    <w:rsid w:val="24066BDB"/>
    <w:rsid w:val="24110B80"/>
    <w:rsid w:val="24453591"/>
    <w:rsid w:val="244F2331"/>
    <w:rsid w:val="24572D18"/>
    <w:rsid w:val="24841C1D"/>
    <w:rsid w:val="249D5D77"/>
    <w:rsid w:val="24B445FB"/>
    <w:rsid w:val="24BD6504"/>
    <w:rsid w:val="24C74F14"/>
    <w:rsid w:val="24D708E2"/>
    <w:rsid w:val="24DB0B9B"/>
    <w:rsid w:val="24E53CDB"/>
    <w:rsid w:val="24FB6730"/>
    <w:rsid w:val="251B6F7E"/>
    <w:rsid w:val="252515BC"/>
    <w:rsid w:val="252D2E7E"/>
    <w:rsid w:val="25787665"/>
    <w:rsid w:val="258969EA"/>
    <w:rsid w:val="25F5013E"/>
    <w:rsid w:val="262A1C6D"/>
    <w:rsid w:val="262F627F"/>
    <w:rsid w:val="26315BFD"/>
    <w:rsid w:val="264659B5"/>
    <w:rsid w:val="264A4407"/>
    <w:rsid w:val="26537397"/>
    <w:rsid w:val="26590269"/>
    <w:rsid w:val="2660154C"/>
    <w:rsid w:val="266E68AC"/>
    <w:rsid w:val="26A276B5"/>
    <w:rsid w:val="26BA68C7"/>
    <w:rsid w:val="26BB1824"/>
    <w:rsid w:val="26BF5E40"/>
    <w:rsid w:val="26F237CD"/>
    <w:rsid w:val="27057CC8"/>
    <w:rsid w:val="2719754A"/>
    <w:rsid w:val="2725126B"/>
    <w:rsid w:val="274C2D2B"/>
    <w:rsid w:val="27525FCD"/>
    <w:rsid w:val="2796594E"/>
    <w:rsid w:val="27BC024E"/>
    <w:rsid w:val="27BE3E87"/>
    <w:rsid w:val="27C17045"/>
    <w:rsid w:val="27C35275"/>
    <w:rsid w:val="28243568"/>
    <w:rsid w:val="283167B4"/>
    <w:rsid w:val="285C5812"/>
    <w:rsid w:val="28682A73"/>
    <w:rsid w:val="28811CA6"/>
    <w:rsid w:val="289B334C"/>
    <w:rsid w:val="289D577F"/>
    <w:rsid w:val="28AA1F85"/>
    <w:rsid w:val="28E404D9"/>
    <w:rsid w:val="28F4407D"/>
    <w:rsid w:val="291138C7"/>
    <w:rsid w:val="29120E51"/>
    <w:rsid w:val="29174ED6"/>
    <w:rsid w:val="29713020"/>
    <w:rsid w:val="29733D9F"/>
    <w:rsid w:val="297B24B1"/>
    <w:rsid w:val="29921F81"/>
    <w:rsid w:val="29A61468"/>
    <w:rsid w:val="29BE37C1"/>
    <w:rsid w:val="29DD03DE"/>
    <w:rsid w:val="2A257690"/>
    <w:rsid w:val="2A5039D7"/>
    <w:rsid w:val="2A665688"/>
    <w:rsid w:val="2A7D74CC"/>
    <w:rsid w:val="2A7F4563"/>
    <w:rsid w:val="2AB72260"/>
    <w:rsid w:val="2B02766B"/>
    <w:rsid w:val="2B1627CA"/>
    <w:rsid w:val="2B3959B8"/>
    <w:rsid w:val="2B3F4C1F"/>
    <w:rsid w:val="2B452058"/>
    <w:rsid w:val="2B4D1216"/>
    <w:rsid w:val="2B58393A"/>
    <w:rsid w:val="2B8030A5"/>
    <w:rsid w:val="2BE06712"/>
    <w:rsid w:val="2C002162"/>
    <w:rsid w:val="2C095760"/>
    <w:rsid w:val="2C0D429C"/>
    <w:rsid w:val="2C4016E9"/>
    <w:rsid w:val="2C6E581C"/>
    <w:rsid w:val="2C717596"/>
    <w:rsid w:val="2C7A7AA0"/>
    <w:rsid w:val="2CA30589"/>
    <w:rsid w:val="2CA64AB8"/>
    <w:rsid w:val="2CB57056"/>
    <w:rsid w:val="2CC31B0E"/>
    <w:rsid w:val="2CF31AC1"/>
    <w:rsid w:val="2D146D2C"/>
    <w:rsid w:val="2D155FB3"/>
    <w:rsid w:val="2D167200"/>
    <w:rsid w:val="2D3B7B03"/>
    <w:rsid w:val="2D440581"/>
    <w:rsid w:val="2D470656"/>
    <w:rsid w:val="2D493ADC"/>
    <w:rsid w:val="2D55451C"/>
    <w:rsid w:val="2D5B158F"/>
    <w:rsid w:val="2D865C52"/>
    <w:rsid w:val="2DD30997"/>
    <w:rsid w:val="2DD85F0E"/>
    <w:rsid w:val="2DF144D1"/>
    <w:rsid w:val="2DFB6036"/>
    <w:rsid w:val="2E037C91"/>
    <w:rsid w:val="2E3472AB"/>
    <w:rsid w:val="2E3D031C"/>
    <w:rsid w:val="2E916CDE"/>
    <w:rsid w:val="2EA86437"/>
    <w:rsid w:val="2EB103B1"/>
    <w:rsid w:val="2F0F71E6"/>
    <w:rsid w:val="2F125BF3"/>
    <w:rsid w:val="2F13163F"/>
    <w:rsid w:val="2F383A5C"/>
    <w:rsid w:val="2F393B56"/>
    <w:rsid w:val="2F3A7B8C"/>
    <w:rsid w:val="2F4559EE"/>
    <w:rsid w:val="2F465EFB"/>
    <w:rsid w:val="2F5954A4"/>
    <w:rsid w:val="2F742945"/>
    <w:rsid w:val="2F9D4B14"/>
    <w:rsid w:val="2FBE43F5"/>
    <w:rsid w:val="2FC53C32"/>
    <w:rsid w:val="2FC55B9D"/>
    <w:rsid w:val="2FD157C7"/>
    <w:rsid w:val="2FDE0D5C"/>
    <w:rsid w:val="2FFE794A"/>
    <w:rsid w:val="300A115E"/>
    <w:rsid w:val="301241C3"/>
    <w:rsid w:val="30296BB8"/>
    <w:rsid w:val="308811B6"/>
    <w:rsid w:val="30881C59"/>
    <w:rsid w:val="309D4655"/>
    <w:rsid w:val="30C026F3"/>
    <w:rsid w:val="30EA4040"/>
    <w:rsid w:val="315423FA"/>
    <w:rsid w:val="315B7AEC"/>
    <w:rsid w:val="31710789"/>
    <w:rsid w:val="317503B0"/>
    <w:rsid w:val="318551F1"/>
    <w:rsid w:val="31D53C4D"/>
    <w:rsid w:val="31E3590E"/>
    <w:rsid w:val="31F2254D"/>
    <w:rsid w:val="31F71A11"/>
    <w:rsid w:val="31FE12AB"/>
    <w:rsid w:val="320E382B"/>
    <w:rsid w:val="321A185A"/>
    <w:rsid w:val="321B4537"/>
    <w:rsid w:val="32513A45"/>
    <w:rsid w:val="3253673D"/>
    <w:rsid w:val="325B682D"/>
    <w:rsid w:val="32B50B2C"/>
    <w:rsid w:val="32C84DFE"/>
    <w:rsid w:val="32D7610D"/>
    <w:rsid w:val="32FA3DAF"/>
    <w:rsid w:val="332D5F33"/>
    <w:rsid w:val="3337740D"/>
    <w:rsid w:val="337F1035"/>
    <w:rsid w:val="33805DA1"/>
    <w:rsid w:val="338C56E4"/>
    <w:rsid w:val="33934B2E"/>
    <w:rsid w:val="339441CF"/>
    <w:rsid w:val="33B60D2B"/>
    <w:rsid w:val="33C37075"/>
    <w:rsid w:val="34062C68"/>
    <w:rsid w:val="341C738A"/>
    <w:rsid w:val="341E030F"/>
    <w:rsid w:val="34234173"/>
    <w:rsid w:val="344B3744"/>
    <w:rsid w:val="34585C1B"/>
    <w:rsid w:val="34791D7A"/>
    <w:rsid w:val="348F0A80"/>
    <w:rsid w:val="349158FD"/>
    <w:rsid w:val="34A131A3"/>
    <w:rsid w:val="34A26022"/>
    <w:rsid w:val="34B0567F"/>
    <w:rsid w:val="34B443F6"/>
    <w:rsid w:val="34E12F4E"/>
    <w:rsid w:val="34EB31AA"/>
    <w:rsid w:val="34EC41DF"/>
    <w:rsid w:val="35040A33"/>
    <w:rsid w:val="351A24AD"/>
    <w:rsid w:val="35273121"/>
    <w:rsid w:val="352F69D9"/>
    <w:rsid w:val="354E123E"/>
    <w:rsid w:val="354F2AD2"/>
    <w:rsid w:val="35827A7E"/>
    <w:rsid w:val="358D6E3D"/>
    <w:rsid w:val="35A70F55"/>
    <w:rsid w:val="35C36B07"/>
    <w:rsid w:val="35C60438"/>
    <w:rsid w:val="360D6591"/>
    <w:rsid w:val="361F2C5E"/>
    <w:rsid w:val="363976F7"/>
    <w:rsid w:val="36681B72"/>
    <w:rsid w:val="366E68DA"/>
    <w:rsid w:val="367F1281"/>
    <w:rsid w:val="36BD137C"/>
    <w:rsid w:val="36CB1803"/>
    <w:rsid w:val="36E02E58"/>
    <w:rsid w:val="36E76E85"/>
    <w:rsid w:val="36F84B57"/>
    <w:rsid w:val="374069C5"/>
    <w:rsid w:val="3751494E"/>
    <w:rsid w:val="375A24EA"/>
    <w:rsid w:val="37757EA8"/>
    <w:rsid w:val="3784494C"/>
    <w:rsid w:val="37BC00E4"/>
    <w:rsid w:val="37C859C7"/>
    <w:rsid w:val="37D62F7A"/>
    <w:rsid w:val="37E40AE8"/>
    <w:rsid w:val="3801173C"/>
    <w:rsid w:val="38060F79"/>
    <w:rsid w:val="38077FF1"/>
    <w:rsid w:val="382905BD"/>
    <w:rsid w:val="38367CE6"/>
    <w:rsid w:val="38446261"/>
    <w:rsid w:val="384E5649"/>
    <w:rsid w:val="38746ABC"/>
    <w:rsid w:val="38761BD7"/>
    <w:rsid w:val="38A92B31"/>
    <w:rsid w:val="38AE69D5"/>
    <w:rsid w:val="38C63525"/>
    <w:rsid w:val="38CC58A6"/>
    <w:rsid w:val="38FC0060"/>
    <w:rsid w:val="38FC32F5"/>
    <w:rsid w:val="38FD17EE"/>
    <w:rsid w:val="39030A9D"/>
    <w:rsid w:val="39113643"/>
    <w:rsid w:val="393A37CB"/>
    <w:rsid w:val="393B35FD"/>
    <w:rsid w:val="396866FD"/>
    <w:rsid w:val="39741B90"/>
    <w:rsid w:val="397E03C2"/>
    <w:rsid w:val="39BB3AC3"/>
    <w:rsid w:val="39BC3B6C"/>
    <w:rsid w:val="39DF043A"/>
    <w:rsid w:val="39FE32B3"/>
    <w:rsid w:val="39FF59A7"/>
    <w:rsid w:val="3A06128C"/>
    <w:rsid w:val="3A070DC0"/>
    <w:rsid w:val="3A1C1961"/>
    <w:rsid w:val="3A2065C7"/>
    <w:rsid w:val="3A213653"/>
    <w:rsid w:val="3A3315EB"/>
    <w:rsid w:val="3A34378D"/>
    <w:rsid w:val="3A36160B"/>
    <w:rsid w:val="3A5B3A12"/>
    <w:rsid w:val="3A623A31"/>
    <w:rsid w:val="3A6F51D2"/>
    <w:rsid w:val="3A7479F6"/>
    <w:rsid w:val="3AA50AA5"/>
    <w:rsid w:val="3AA54601"/>
    <w:rsid w:val="3AAF36D1"/>
    <w:rsid w:val="3AEB3C21"/>
    <w:rsid w:val="3AFB6043"/>
    <w:rsid w:val="3B041E40"/>
    <w:rsid w:val="3B191C47"/>
    <w:rsid w:val="3B205806"/>
    <w:rsid w:val="3B295FAA"/>
    <w:rsid w:val="3B5C6A72"/>
    <w:rsid w:val="3B5F1513"/>
    <w:rsid w:val="3B7F2CAA"/>
    <w:rsid w:val="3BEB3716"/>
    <w:rsid w:val="3C1A13DF"/>
    <w:rsid w:val="3C3A4FEB"/>
    <w:rsid w:val="3C4F0EBB"/>
    <w:rsid w:val="3C635FA0"/>
    <w:rsid w:val="3C8659AE"/>
    <w:rsid w:val="3C942B7F"/>
    <w:rsid w:val="3CA66A58"/>
    <w:rsid w:val="3CB269B6"/>
    <w:rsid w:val="3CBE3C7C"/>
    <w:rsid w:val="3CD165D4"/>
    <w:rsid w:val="3CE32014"/>
    <w:rsid w:val="3CE6704E"/>
    <w:rsid w:val="3CF316DB"/>
    <w:rsid w:val="3D39355A"/>
    <w:rsid w:val="3D3C44DD"/>
    <w:rsid w:val="3D5001A7"/>
    <w:rsid w:val="3D5211A5"/>
    <w:rsid w:val="3D5B3EF0"/>
    <w:rsid w:val="3D5C58DF"/>
    <w:rsid w:val="3D9214B7"/>
    <w:rsid w:val="3DA65146"/>
    <w:rsid w:val="3DB23DD9"/>
    <w:rsid w:val="3DF57F08"/>
    <w:rsid w:val="3E143052"/>
    <w:rsid w:val="3E390C78"/>
    <w:rsid w:val="3E500D27"/>
    <w:rsid w:val="3E573ADE"/>
    <w:rsid w:val="3EA55E90"/>
    <w:rsid w:val="3ECD0998"/>
    <w:rsid w:val="3ED508CA"/>
    <w:rsid w:val="3EF25E2A"/>
    <w:rsid w:val="3F1109BC"/>
    <w:rsid w:val="3F1B7587"/>
    <w:rsid w:val="3F805B16"/>
    <w:rsid w:val="3F946522"/>
    <w:rsid w:val="3F9B06C8"/>
    <w:rsid w:val="3FA42170"/>
    <w:rsid w:val="3FAF36DB"/>
    <w:rsid w:val="3FE1257F"/>
    <w:rsid w:val="3FF5218F"/>
    <w:rsid w:val="40005F83"/>
    <w:rsid w:val="4050373A"/>
    <w:rsid w:val="405759DA"/>
    <w:rsid w:val="406A14B3"/>
    <w:rsid w:val="407C15D8"/>
    <w:rsid w:val="40837754"/>
    <w:rsid w:val="409D1B0D"/>
    <w:rsid w:val="40C801C3"/>
    <w:rsid w:val="40F97CA8"/>
    <w:rsid w:val="410B29F4"/>
    <w:rsid w:val="41171B69"/>
    <w:rsid w:val="41200E85"/>
    <w:rsid w:val="412C1F7C"/>
    <w:rsid w:val="41415E9E"/>
    <w:rsid w:val="414913C8"/>
    <w:rsid w:val="41635215"/>
    <w:rsid w:val="41883A8E"/>
    <w:rsid w:val="418A60B4"/>
    <w:rsid w:val="41943621"/>
    <w:rsid w:val="41A908CE"/>
    <w:rsid w:val="41B370D6"/>
    <w:rsid w:val="41B71371"/>
    <w:rsid w:val="42212582"/>
    <w:rsid w:val="423B574B"/>
    <w:rsid w:val="42625CA5"/>
    <w:rsid w:val="42755843"/>
    <w:rsid w:val="42794CE2"/>
    <w:rsid w:val="428704C4"/>
    <w:rsid w:val="42A72155"/>
    <w:rsid w:val="42C70708"/>
    <w:rsid w:val="42E0254C"/>
    <w:rsid w:val="42F40D67"/>
    <w:rsid w:val="43024C98"/>
    <w:rsid w:val="43066FF8"/>
    <w:rsid w:val="43083995"/>
    <w:rsid w:val="430B231C"/>
    <w:rsid w:val="43146FF6"/>
    <w:rsid w:val="433204F8"/>
    <w:rsid w:val="43364990"/>
    <w:rsid w:val="433C3AAA"/>
    <w:rsid w:val="4345322A"/>
    <w:rsid w:val="434C6DAF"/>
    <w:rsid w:val="43580CE8"/>
    <w:rsid w:val="43600192"/>
    <w:rsid w:val="43964A1C"/>
    <w:rsid w:val="43E22B61"/>
    <w:rsid w:val="44031DB9"/>
    <w:rsid w:val="44330D9D"/>
    <w:rsid w:val="447943E7"/>
    <w:rsid w:val="448C57E4"/>
    <w:rsid w:val="44B41FCD"/>
    <w:rsid w:val="44F46625"/>
    <w:rsid w:val="44F52628"/>
    <w:rsid w:val="454722BC"/>
    <w:rsid w:val="454C191C"/>
    <w:rsid w:val="45547C0E"/>
    <w:rsid w:val="4556652D"/>
    <w:rsid w:val="45861251"/>
    <w:rsid w:val="459911EE"/>
    <w:rsid w:val="4599227F"/>
    <w:rsid w:val="45BE024B"/>
    <w:rsid w:val="45BE2AD4"/>
    <w:rsid w:val="45C2437E"/>
    <w:rsid w:val="45EA2721"/>
    <w:rsid w:val="460A0745"/>
    <w:rsid w:val="46300B95"/>
    <w:rsid w:val="463A3C1C"/>
    <w:rsid w:val="466B2BA2"/>
    <w:rsid w:val="466E6ADA"/>
    <w:rsid w:val="4699240B"/>
    <w:rsid w:val="46B7014A"/>
    <w:rsid w:val="46CD397C"/>
    <w:rsid w:val="46ED5CA5"/>
    <w:rsid w:val="46FE4C6E"/>
    <w:rsid w:val="47062AB6"/>
    <w:rsid w:val="471A6376"/>
    <w:rsid w:val="472D53FB"/>
    <w:rsid w:val="475A659D"/>
    <w:rsid w:val="476207DA"/>
    <w:rsid w:val="47765740"/>
    <w:rsid w:val="47944B93"/>
    <w:rsid w:val="47B14EAE"/>
    <w:rsid w:val="47C00B3A"/>
    <w:rsid w:val="47C04462"/>
    <w:rsid w:val="47C96CD1"/>
    <w:rsid w:val="47D40048"/>
    <w:rsid w:val="47D84F8A"/>
    <w:rsid w:val="47DB6ABB"/>
    <w:rsid w:val="48083448"/>
    <w:rsid w:val="481823FF"/>
    <w:rsid w:val="48460696"/>
    <w:rsid w:val="48690DD9"/>
    <w:rsid w:val="486B54EB"/>
    <w:rsid w:val="4887121F"/>
    <w:rsid w:val="48F702B1"/>
    <w:rsid w:val="49147605"/>
    <w:rsid w:val="491C7E92"/>
    <w:rsid w:val="492910E2"/>
    <w:rsid w:val="492E569F"/>
    <w:rsid w:val="494A1301"/>
    <w:rsid w:val="494B446A"/>
    <w:rsid w:val="494E1C27"/>
    <w:rsid w:val="4960323C"/>
    <w:rsid w:val="49616B54"/>
    <w:rsid w:val="497F0713"/>
    <w:rsid w:val="49A36AB0"/>
    <w:rsid w:val="49A97E85"/>
    <w:rsid w:val="49D2118A"/>
    <w:rsid w:val="49D92DDD"/>
    <w:rsid w:val="49EF5321"/>
    <w:rsid w:val="4A034815"/>
    <w:rsid w:val="4A347F6C"/>
    <w:rsid w:val="4A444508"/>
    <w:rsid w:val="4A456A14"/>
    <w:rsid w:val="4A66451F"/>
    <w:rsid w:val="4A9D0D79"/>
    <w:rsid w:val="4A9D45B8"/>
    <w:rsid w:val="4A9F545E"/>
    <w:rsid w:val="4AAB056F"/>
    <w:rsid w:val="4B08573B"/>
    <w:rsid w:val="4B626F00"/>
    <w:rsid w:val="4B743C77"/>
    <w:rsid w:val="4B8B339F"/>
    <w:rsid w:val="4BC53B5B"/>
    <w:rsid w:val="4BC802A5"/>
    <w:rsid w:val="4BE53FE4"/>
    <w:rsid w:val="4C1242C5"/>
    <w:rsid w:val="4C340FD6"/>
    <w:rsid w:val="4C4A39CC"/>
    <w:rsid w:val="4C4D4AF8"/>
    <w:rsid w:val="4C6954C4"/>
    <w:rsid w:val="4C744BB3"/>
    <w:rsid w:val="4C851F32"/>
    <w:rsid w:val="4C964045"/>
    <w:rsid w:val="4CE2366D"/>
    <w:rsid w:val="4CF364F1"/>
    <w:rsid w:val="4D010671"/>
    <w:rsid w:val="4D316B33"/>
    <w:rsid w:val="4D352FBB"/>
    <w:rsid w:val="4D743D8A"/>
    <w:rsid w:val="4D761B48"/>
    <w:rsid w:val="4D994499"/>
    <w:rsid w:val="4D9A14C4"/>
    <w:rsid w:val="4DA96C4E"/>
    <w:rsid w:val="4DCD4142"/>
    <w:rsid w:val="4DF70A62"/>
    <w:rsid w:val="4E0614E3"/>
    <w:rsid w:val="4E2452B7"/>
    <w:rsid w:val="4E407867"/>
    <w:rsid w:val="4E695109"/>
    <w:rsid w:val="4E92190F"/>
    <w:rsid w:val="4E9C3B92"/>
    <w:rsid w:val="4E9D6524"/>
    <w:rsid w:val="4EAD1AF9"/>
    <w:rsid w:val="4EE23C1E"/>
    <w:rsid w:val="4F1913AC"/>
    <w:rsid w:val="4F4F5A65"/>
    <w:rsid w:val="4F6426A9"/>
    <w:rsid w:val="4F6810CB"/>
    <w:rsid w:val="4F7A31F5"/>
    <w:rsid w:val="4F8E1D0C"/>
    <w:rsid w:val="4FB3028B"/>
    <w:rsid w:val="4FB77179"/>
    <w:rsid w:val="4FB92CDA"/>
    <w:rsid w:val="4FE775A6"/>
    <w:rsid w:val="4FF54231"/>
    <w:rsid w:val="50077447"/>
    <w:rsid w:val="50115E97"/>
    <w:rsid w:val="502F4C40"/>
    <w:rsid w:val="50343739"/>
    <w:rsid w:val="50623802"/>
    <w:rsid w:val="50652E94"/>
    <w:rsid w:val="508700F4"/>
    <w:rsid w:val="50964338"/>
    <w:rsid w:val="50A970CD"/>
    <w:rsid w:val="50C72D83"/>
    <w:rsid w:val="50DA2757"/>
    <w:rsid w:val="50EC664D"/>
    <w:rsid w:val="51467324"/>
    <w:rsid w:val="5163596F"/>
    <w:rsid w:val="51642065"/>
    <w:rsid w:val="51895F2D"/>
    <w:rsid w:val="51A0460E"/>
    <w:rsid w:val="51A60230"/>
    <w:rsid w:val="51A823AB"/>
    <w:rsid w:val="51CC648B"/>
    <w:rsid w:val="51E202B2"/>
    <w:rsid w:val="51FC6565"/>
    <w:rsid w:val="52030FE6"/>
    <w:rsid w:val="52065DA2"/>
    <w:rsid w:val="52294007"/>
    <w:rsid w:val="522E4D5D"/>
    <w:rsid w:val="524A71B5"/>
    <w:rsid w:val="52642695"/>
    <w:rsid w:val="5279373F"/>
    <w:rsid w:val="528B1069"/>
    <w:rsid w:val="528D5BD8"/>
    <w:rsid w:val="528F0DD4"/>
    <w:rsid w:val="52930D7F"/>
    <w:rsid w:val="5296438C"/>
    <w:rsid w:val="52B93795"/>
    <w:rsid w:val="52D33C96"/>
    <w:rsid w:val="530F2B4C"/>
    <w:rsid w:val="53144C5A"/>
    <w:rsid w:val="53186F98"/>
    <w:rsid w:val="5334617E"/>
    <w:rsid w:val="53AE0CB6"/>
    <w:rsid w:val="53BE69F0"/>
    <w:rsid w:val="53D170F4"/>
    <w:rsid w:val="53D2774D"/>
    <w:rsid w:val="53E1541E"/>
    <w:rsid w:val="5434742F"/>
    <w:rsid w:val="544F1C50"/>
    <w:rsid w:val="54606A92"/>
    <w:rsid w:val="54611A81"/>
    <w:rsid w:val="54DC110F"/>
    <w:rsid w:val="55563FAE"/>
    <w:rsid w:val="55671A8F"/>
    <w:rsid w:val="557D655D"/>
    <w:rsid w:val="55846FDD"/>
    <w:rsid w:val="558933C3"/>
    <w:rsid w:val="55B177EA"/>
    <w:rsid w:val="55CD48C4"/>
    <w:rsid w:val="560C425A"/>
    <w:rsid w:val="56116B32"/>
    <w:rsid w:val="562365CA"/>
    <w:rsid w:val="56340430"/>
    <w:rsid w:val="563A60ED"/>
    <w:rsid w:val="56581D59"/>
    <w:rsid w:val="568502CA"/>
    <w:rsid w:val="56B0773B"/>
    <w:rsid w:val="56C254B7"/>
    <w:rsid w:val="5709588E"/>
    <w:rsid w:val="570C5D6D"/>
    <w:rsid w:val="571760EF"/>
    <w:rsid w:val="571F7ADE"/>
    <w:rsid w:val="5778214B"/>
    <w:rsid w:val="57792910"/>
    <w:rsid w:val="5781180D"/>
    <w:rsid w:val="57C77D46"/>
    <w:rsid w:val="57CF4F1B"/>
    <w:rsid w:val="58201757"/>
    <w:rsid w:val="58342B4F"/>
    <w:rsid w:val="58514364"/>
    <w:rsid w:val="585818C8"/>
    <w:rsid w:val="58602168"/>
    <w:rsid w:val="5860738B"/>
    <w:rsid w:val="58AB4E89"/>
    <w:rsid w:val="58AD7356"/>
    <w:rsid w:val="58B5550E"/>
    <w:rsid w:val="58BD5C76"/>
    <w:rsid w:val="58C11261"/>
    <w:rsid w:val="58C34E9B"/>
    <w:rsid w:val="58CB74D0"/>
    <w:rsid w:val="58D20175"/>
    <w:rsid w:val="58E233C9"/>
    <w:rsid w:val="591A393C"/>
    <w:rsid w:val="59303772"/>
    <w:rsid w:val="59340E0B"/>
    <w:rsid w:val="594B41E0"/>
    <w:rsid w:val="59854F0A"/>
    <w:rsid w:val="59975605"/>
    <w:rsid w:val="59AD7B0E"/>
    <w:rsid w:val="59B73D81"/>
    <w:rsid w:val="59CD28EC"/>
    <w:rsid w:val="59D55070"/>
    <w:rsid w:val="59D55FBA"/>
    <w:rsid w:val="59DA18AC"/>
    <w:rsid w:val="59E546A4"/>
    <w:rsid w:val="59FD6E5D"/>
    <w:rsid w:val="5A0304DD"/>
    <w:rsid w:val="5A2F5AF5"/>
    <w:rsid w:val="5A4439EB"/>
    <w:rsid w:val="5A637B38"/>
    <w:rsid w:val="5A8C0168"/>
    <w:rsid w:val="5A8D1386"/>
    <w:rsid w:val="5A93303B"/>
    <w:rsid w:val="5ABB6C3C"/>
    <w:rsid w:val="5AC245CB"/>
    <w:rsid w:val="5ACD77B4"/>
    <w:rsid w:val="5AF81615"/>
    <w:rsid w:val="5AFF7905"/>
    <w:rsid w:val="5B1836AE"/>
    <w:rsid w:val="5B433721"/>
    <w:rsid w:val="5B492C91"/>
    <w:rsid w:val="5B5D57A1"/>
    <w:rsid w:val="5B6B15AA"/>
    <w:rsid w:val="5B987BF7"/>
    <w:rsid w:val="5BAF6495"/>
    <w:rsid w:val="5BF25754"/>
    <w:rsid w:val="5C0E07A3"/>
    <w:rsid w:val="5C1271C4"/>
    <w:rsid w:val="5C1A09DA"/>
    <w:rsid w:val="5C1E13B0"/>
    <w:rsid w:val="5C1E7291"/>
    <w:rsid w:val="5C4F3ACF"/>
    <w:rsid w:val="5C662A50"/>
    <w:rsid w:val="5C9D06C7"/>
    <w:rsid w:val="5CA61CCA"/>
    <w:rsid w:val="5CC73DD6"/>
    <w:rsid w:val="5CDC7430"/>
    <w:rsid w:val="5CEA2522"/>
    <w:rsid w:val="5CF2777D"/>
    <w:rsid w:val="5D0D01B7"/>
    <w:rsid w:val="5D2708E3"/>
    <w:rsid w:val="5D664D05"/>
    <w:rsid w:val="5D6E48CE"/>
    <w:rsid w:val="5D7C584C"/>
    <w:rsid w:val="5D7D3C0A"/>
    <w:rsid w:val="5D7F0635"/>
    <w:rsid w:val="5D894E7F"/>
    <w:rsid w:val="5D8D080D"/>
    <w:rsid w:val="5D935CE3"/>
    <w:rsid w:val="5DA402F0"/>
    <w:rsid w:val="5DBF6493"/>
    <w:rsid w:val="5DC05209"/>
    <w:rsid w:val="5DC12605"/>
    <w:rsid w:val="5E000CA6"/>
    <w:rsid w:val="5E3A6AA2"/>
    <w:rsid w:val="5E3D55BB"/>
    <w:rsid w:val="5E3E4C2D"/>
    <w:rsid w:val="5E5867E1"/>
    <w:rsid w:val="5E674F7E"/>
    <w:rsid w:val="5E874CE8"/>
    <w:rsid w:val="5E8D71DE"/>
    <w:rsid w:val="5E9D1B20"/>
    <w:rsid w:val="5EB00E5C"/>
    <w:rsid w:val="5ED35331"/>
    <w:rsid w:val="5EE37831"/>
    <w:rsid w:val="5EEB7859"/>
    <w:rsid w:val="5F0A3D5F"/>
    <w:rsid w:val="5F213F68"/>
    <w:rsid w:val="5F2F6349"/>
    <w:rsid w:val="5F583929"/>
    <w:rsid w:val="5F600D4E"/>
    <w:rsid w:val="5F6E5812"/>
    <w:rsid w:val="5F883F49"/>
    <w:rsid w:val="5F8E3078"/>
    <w:rsid w:val="5F956DDF"/>
    <w:rsid w:val="5F991667"/>
    <w:rsid w:val="5FA416F1"/>
    <w:rsid w:val="5FD064E9"/>
    <w:rsid w:val="5FD93954"/>
    <w:rsid w:val="5FDC55D3"/>
    <w:rsid w:val="5FE77994"/>
    <w:rsid w:val="5FF469EE"/>
    <w:rsid w:val="5FFB0094"/>
    <w:rsid w:val="60160416"/>
    <w:rsid w:val="60211CCF"/>
    <w:rsid w:val="60305CC7"/>
    <w:rsid w:val="604672E7"/>
    <w:rsid w:val="604A1238"/>
    <w:rsid w:val="606107A7"/>
    <w:rsid w:val="609D4E6C"/>
    <w:rsid w:val="60A62DBA"/>
    <w:rsid w:val="60C03CCF"/>
    <w:rsid w:val="60D42D03"/>
    <w:rsid w:val="60E62C9D"/>
    <w:rsid w:val="611B62E0"/>
    <w:rsid w:val="61287940"/>
    <w:rsid w:val="615E501E"/>
    <w:rsid w:val="6180773A"/>
    <w:rsid w:val="618B0BA0"/>
    <w:rsid w:val="61A06374"/>
    <w:rsid w:val="6221139D"/>
    <w:rsid w:val="622470A5"/>
    <w:rsid w:val="62247F4C"/>
    <w:rsid w:val="622540F5"/>
    <w:rsid w:val="622D2FAA"/>
    <w:rsid w:val="624375DB"/>
    <w:rsid w:val="625D25EA"/>
    <w:rsid w:val="62734B1F"/>
    <w:rsid w:val="62857C4E"/>
    <w:rsid w:val="6286607D"/>
    <w:rsid w:val="62A62781"/>
    <w:rsid w:val="62E05FC6"/>
    <w:rsid w:val="62E358BC"/>
    <w:rsid w:val="62E53885"/>
    <w:rsid w:val="62FD3864"/>
    <w:rsid w:val="63464F7D"/>
    <w:rsid w:val="634B0772"/>
    <w:rsid w:val="6352719B"/>
    <w:rsid w:val="635D78BF"/>
    <w:rsid w:val="636E7A2E"/>
    <w:rsid w:val="63815A2A"/>
    <w:rsid w:val="63877E7E"/>
    <w:rsid w:val="63BF7E8E"/>
    <w:rsid w:val="63C01CBD"/>
    <w:rsid w:val="63EC3837"/>
    <w:rsid w:val="63FC4F9D"/>
    <w:rsid w:val="640A3035"/>
    <w:rsid w:val="643F3D04"/>
    <w:rsid w:val="644204E6"/>
    <w:rsid w:val="64635DFB"/>
    <w:rsid w:val="64683A23"/>
    <w:rsid w:val="64942E6C"/>
    <w:rsid w:val="64AE1C9E"/>
    <w:rsid w:val="64AF3910"/>
    <w:rsid w:val="64BC2C9E"/>
    <w:rsid w:val="64C626B7"/>
    <w:rsid w:val="64D57287"/>
    <w:rsid w:val="64E918AA"/>
    <w:rsid w:val="65252157"/>
    <w:rsid w:val="65683151"/>
    <w:rsid w:val="658066C4"/>
    <w:rsid w:val="65912A7B"/>
    <w:rsid w:val="65A90FD6"/>
    <w:rsid w:val="660428AE"/>
    <w:rsid w:val="660D1E09"/>
    <w:rsid w:val="660E4242"/>
    <w:rsid w:val="662519F4"/>
    <w:rsid w:val="66354951"/>
    <w:rsid w:val="666A2C09"/>
    <w:rsid w:val="6679092A"/>
    <w:rsid w:val="669315AD"/>
    <w:rsid w:val="66BA2385"/>
    <w:rsid w:val="66DB09CF"/>
    <w:rsid w:val="66E96680"/>
    <w:rsid w:val="66F422E8"/>
    <w:rsid w:val="67237A0F"/>
    <w:rsid w:val="67461374"/>
    <w:rsid w:val="67487CFE"/>
    <w:rsid w:val="67695728"/>
    <w:rsid w:val="677038E2"/>
    <w:rsid w:val="677777A9"/>
    <w:rsid w:val="67844587"/>
    <w:rsid w:val="67B43783"/>
    <w:rsid w:val="67B92A72"/>
    <w:rsid w:val="67C24235"/>
    <w:rsid w:val="67D547C2"/>
    <w:rsid w:val="67FA0E09"/>
    <w:rsid w:val="68075EA1"/>
    <w:rsid w:val="68233F9E"/>
    <w:rsid w:val="68277A88"/>
    <w:rsid w:val="686831F8"/>
    <w:rsid w:val="687E435B"/>
    <w:rsid w:val="689340A3"/>
    <w:rsid w:val="68A12E72"/>
    <w:rsid w:val="68D63EC7"/>
    <w:rsid w:val="68DC73EC"/>
    <w:rsid w:val="69054B5C"/>
    <w:rsid w:val="69293200"/>
    <w:rsid w:val="694347AF"/>
    <w:rsid w:val="694F06EB"/>
    <w:rsid w:val="6963607F"/>
    <w:rsid w:val="696403F8"/>
    <w:rsid w:val="69766916"/>
    <w:rsid w:val="698D63CB"/>
    <w:rsid w:val="698F77F4"/>
    <w:rsid w:val="69B23B9D"/>
    <w:rsid w:val="69B5510C"/>
    <w:rsid w:val="69E82867"/>
    <w:rsid w:val="69F570F2"/>
    <w:rsid w:val="6A086F70"/>
    <w:rsid w:val="6A2C3B47"/>
    <w:rsid w:val="6A540655"/>
    <w:rsid w:val="6A5B510D"/>
    <w:rsid w:val="6A5F2917"/>
    <w:rsid w:val="6A8D4C80"/>
    <w:rsid w:val="6AA159CB"/>
    <w:rsid w:val="6AA26939"/>
    <w:rsid w:val="6AB544E5"/>
    <w:rsid w:val="6ACB1DCC"/>
    <w:rsid w:val="6AD50437"/>
    <w:rsid w:val="6AE4041A"/>
    <w:rsid w:val="6AEE57CB"/>
    <w:rsid w:val="6B0358FC"/>
    <w:rsid w:val="6B057F21"/>
    <w:rsid w:val="6B0A1798"/>
    <w:rsid w:val="6B3030A0"/>
    <w:rsid w:val="6B3E2D98"/>
    <w:rsid w:val="6B40610C"/>
    <w:rsid w:val="6B41454A"/>
    <w:rsid w:val="6B417EB3"/>
    <w:rsid w:val="6B5F34DB"/>
    <w:rsid w:val="6B707214"/>
    <w:rsid w:val="6B8071B3"/>
    <w:rsid w:val="6B8C7291"/>
    <w:rsid w:val="6B9C69D2"/>
    <w:rsid w:val="6BB104FC"/>
    <w:rsid w:val="6BC75657"/>
    <w:rsid w:val="6BD126F0"/>
    <w:rsid w:val="6BE1773A"/>
    <w:rsid w:val="6BE35659"/>
    <w:rsid w:val="6C2B66F7"/>
    <w:rsid w:val="6C5437FF"/>
    <w:rsid w:val="6C56491E"/>
    <w:rsid w:val="6C5B64F3"/>
    <w:rsid w:val="6C872F0E"/>
    <w:rsid w:val="6CB84F3A"/>
    <w:rsid w:val="6CC57E1D"/>
    <w:rsid w:val="6D05726A"/>
    <w:rsid w:val="6D340FE2"/>
    <w:rsid w:val="6D5172EC"/>
    <w:rsid w:val="6D673555"/>
    <w:rsid w:val="6D717C1E"/>
    <w:rsid w:val="6D835CA4"/>
    <w:rsid w:val="6D91263F"/>
    <w:rsid w:val="6D92611A"/>
    <w:rsid w:val="6D981B81"/>
    <w:rsid w:val="6D994274"/>
    <w:rsid w:val="6DA0764D"/>
    <w:rsid w:val="6DA9204B"/>
    <w:rsid w:val="6DB90857"/>
    <w:rsid w:val="6DC267F1"/>
    <w:rsid w:val="6E032FC6"/>
    <w:rsid w:val="6E083615"/>
    <w:rsid w:val="6E0D26B4"/>
    <w:rsid w:val="6E146DCC"/>
    <w:rsid w:val="6E360FB8"/>
    <w:rsid w:val="6E44084F"/>
    <w:rsid w:val="6E4F3DA5"/>
    <w:rsid w:val="6E5D06EF"/>
    <w:rsid w:val="6E6F0BB4"/>
    <w:rsid w:val="6E6F1D57"/>
    <w:rsid w:val="6E7A62E4"/>
    <w:rsid w:val="6E9D2927"/>
    <w:rsid w:val="6EB25B0B"/>
    <w:rsid w:val="6EB80BA0"/>
    <w:rsid w:val="6EC15BA9"/>
    <w:rsid w:val="6ED37D90"/>
    <w:rsid w:val="6EE964AB"/>
    <w:rsid w:val="6EEE36C0"/>
    <w:rsid w:val="6F00046B"/>
    <w:rsid w:val="6F065AB6"/>
    <w:rsid w:val="6F0D2EC0"/>
    <w:rsid w:val="6F3364F9"/>
    <w:rsid w:val="6F441647"/>
    <w:rsid w:val="6F4D0F66"/>
    <w:rsid w:val="6F505503"/>
    <w:rsid w:val="6F57424B"/>
    <w:rsid w:val="6F612830"/>
    <w:rsid w:val="6F786B62"/>
    <w:rsid w:val="6F9E5543"/>
    <w:rsid w:val="6FD10B10"/>
    <w:rsid w:val="6FE61F22"/>
    <w:rsid w:val="6FFD00DA"/>
    <w:rsid w:val="70142638"/>
    <w:rsid w:val="70352925"/>
    <w:rsid w:val="70505871"/>
    <w:rsid w:val="7059136B"/>
    <w:rsid w:val="7067165B"/>
    <w:rsid w:val="706B4405"/>
    <w:rsid w:val="70801B07"/>
    <w:rsid w:val="70837266"/>
    <w:rsid w:val="709A7A5C"/>
    <w:rsid w:val="70A03182"/>
    <w:rsid w:val="70A1406F"/>
    <w:rsid w:val="70B0465E"/>
    <w:rsid w:val="70FE623D"/>
    <w:rsid w:val="71233682"/>
    <w:rsid w:val="71492A71"/>
    <w:rsid w:val="715251C2"/>
    <w:rsid w:val="715B3C2A"/>
    <w:rsid w:val="717A163C"/>
    <w:rsid w:val="71803C89"/>
    <w:rsid w:val="718507A9"/>
    <w:rsid w:val="71994E64"/>
    <w:rsid w:val="71CA7676"/>
    <w:rsid w:val="71E05943"/>
    <w:rsid w:val="71EA7695"/>
    <w:rsid w:val="71EE7FB9"/>
    <w:rsid w:val="72536FDC"/>
    <w:rsid w:val="726D181E"/>
    <w:rsid w:val="727D75DF"/>
    <w:rsid w:val="72A63925"/>
    <w:rsid w:val="72BA42B3"/>
    <w:rsid w:val="72BB74DD"/>
    <w:rsid w:val="72CC013F"/>
    <w:rsid w:val="72D36E77"/>
    <w:rsid w:val="72DB174A"/>
    <w:rsid w:val="72DD2BAD"/>
    <w:rsid w:val="72FB66FD"/>
    <w:rsid w:val="73020D5E"/>
    <w:rsid w:val="732872C5"/>
    <w:rsid w:val="733A0808"/>
    <w:rsid w:val="7360086A"/>
    <w:rsid w:val="739A0DC0"/>
    <w:rsid w:val="73B920B2"/>
    <w:rsid w:val="74085669"/>
    <w:rsid w:val="740A4EF9"/>
    <w:rsid w:val="74412921"/>
    <w:rsid w:val="74426682"/>
    <w:rsid w:val="74594423"/>
    <w:rsid w:val="7475710D"/>
    <w:rsid w:val="747621BD"/>
    <w:rsid w:val="74E60A71"/>
    <w:rsid w:val="74F17E67"/>
    <w:rsid w:val="74F75B59"/>
    <w:rsid w:val="750337C6"/>
    <w:rsid w:val="75086A21"/>
    <w:rsid w:val="750B356A"/>
    <w:rsid w:val="750C4DDC"/>
    <w:rsid w:val="7510569F"/>
    <w:rsid w:val="756950CA"/>
    <w:rsid w:val="75922EAF"/>
    <w:rsid w:val="759C3F60"/>
    <w:rsid w:val="75AD28A1"/>
    <w:rsid w:val="75C224B9"/>
    <w:rsid w:val="76013E56"/>
    <w:rsid w:val="760A7D9D"/>
    <w:rsid w:val="76233B7C"/>
    <w:rsid w:val="76335855"/>
    <w:rsid w:val="763E51CC"/>
    <w:rsid w:val="76465F91"/>
    <w:rsid w:val="766026E6"/>
    <w:rsid w:val="766846C5"/>
    <w:rsid w:val="76B770A6"/>
    <w:rsid w:val="76CE7275"/>
    <w:rsid w:val="76E4362B"/>
    <w:rsid w:val="770070AD"/>
    <w:rsid w:val="770A1659"/>
    <w:rsid w:val="7711659E"/>
    <w:rsid w:val="7712242B"/>
    <w:rsid w:val="771F60E4"/>
    <w:rsid w:val="77231D40"/>
    <w:rsid w:val="773A7A8E"/>
    <w:rsid w:val="77466345"/>
    <w:rsid w:val="77471485"/>
    <w:rsid w:val="776E33FB"/>
    <w:rsid w:val="77825F67"/>
    <w:rsid w:val="77951211"/>
    <w:rsid w:val="77B91A42"/>
    <w:rsid w:val="77C5780E"/>
    <w:rsid w:val="77E26D03"/>
    <w:rsid w:val="77FE04E7"/>
    <w:rsid w:val="782F327E"/>
    <w:rsid w:val="78397A32"/>
    <w:rsid w:val="78A06277"/>
    <w:rsid w:val="78C64F8E"/>
    <w:rsid w:val="78D538AA"/>
    <w:rsid w:val="79105016"/>
    <w:rsid w:val="791A1EB8"/>
    <w:rsid w:val="791E4FA3"/>
    <w:rsid w:val="797167CA"/>
    <w:rsid w:val="798E4E1E"/>
    <w:rsid w:val="799E2AB3"/>
    <w:rsid w:val="79A37A59"/>
    <w:rsid w:val="79C61A14"/>
    <w:rsid w:val="79C7525D"/>
    <w:rsid w:val="79C85435"/>
    <w:rsid w:val="79D16AD3"/>
    <w:rsid w:val="79D749AE"/>
    <w:rsid w:val="79EE5B89"/>
    <w:rsid w:val="79F05A1B"/>
    <w:rsid w:val="7A020CA3"/>
    <w:rsid w:val="7A067805"/>
    <w:rsid w:val="7A3666CE"/>
    <w:rsid w:val="7A376AEF"/>
    <w:rsid w:val="7A3E570B"/>
    <w:rsid w:val="7A4B2A2F"/>
    <w:rsid w:val="7A627545"/>
    <w:rsid w:val="7A811C50"/>
    <w:rsid w:val="7AA408FA"/>
    <w:rsid w:val="7B0E4231"/>
    <w:rsid w:val="7B123707"/>
    <w:rsid w:val="7B236D19"/>
    <w:rsid w:val="7B307625"/>
    <w:rsid w:val="7B347CEC"/>
    <w:rsid w:val="7B576B4E"/>
    <w:rsid w:val="7B761608"/>
    <w:rsid w:val="7B87133C"/>
    <w:rsid w:val="7B9234A2"/>
    <w:rsid w:val="7B9A6F74"/>
    <w:rsid w:val="7BCA404B"/>
    <w:rsid w:val="7BF748DA"/>
    <w:rsid w:val="7C105077"/>
    <w:rsid w:val="7C240B22"/>
    <w:rsid w:val="7C3810A9"/>
    <w:rsid w:val="7C416F95"/>
    <w:rsid w:val="7C4E5B9F"/>
    <w:rsid w:val="7C580760"/>
    <w:rsid w:val="7C8B3404"/>
    <w:rsid w:val="7C8D6ADA"/>
    <w:rsid w:val="7C9C47E0"/>
    <w:rsid w:val="7C9E070C"/>
    <w:rsid w:val="7CA773FF"/>
    <w:rsid w:val="7CA96D86"/>
    <w:rsid w:val="7CAC5CE3"/>
    <w:rsid w:val="7CAE22D0"/>
    <w:rsid w:val="7CBB152F"/>
    <w:rsid w:val="7CD05C51"/>
    <w:rsid w:val="7D295AE7"/>
    <w:rsid w:val="7D2C343C"/>
    <w:rsid w:val="7D4C3183"/>
    <w:rsid w:val="7D512FA5"/>
    <w:rsid w:val="7D5D12E3"/>
    <w:rsid w:val="7D5F378A"/>
    <w:rsid w:val="7D9314F6"/>
    <w:rsid w:val="7D9B2963"/>
    <w:rsid w:val="7D9C06C0"/>
    <w:rsid w:val="7DBE5AB2"/>
    <w:rsid w:val="7DDB441F"/>
    <w:rsid w:val="7E4B1AB3"/>
    <w:rsid w:val="7E566731"/>
    <w:rsid w:val="7E58216F"/>
    <w:rsid w:val="7E58478A"/>
    <w:rsid w:val="7E70415D"/>
    <w:rsid w:val="7E7F1745"/>
    <w:rsid w:val="7E886BD8"/>
    <w:rsid w:val="7E922F1E"/>
    <w:rsid w:val="7E9C1A45"/>
    <w:rsid w:val="7EEF7176"/>
    <w:rsid w:val="7EF618DD"/>
    <w:rsid w:val="7F044E27"/>
    <w:rsid w:val="7F5D7752"/>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0"/>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8"/>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1"/>
    <w:autoRedefine/>
    <w:unhideWhenUsed/>
    <w:qFormat/>
    <w:uiPriority w:val="99"/>
    <w:pPr>
      <w:tabs>
        <w:tab w:val="center" w:pos="4153"/>
        <w:tab w:val="right" w:pos="8306"/>
      </w:tabs>
      <w:snapToGrid w:val="0"/>
      <w:jc w:val="left"/>
    </w:pPr>
    <w:rPr>
      <w:sz w:val="18"/>
      <w:szCs w:val="18"/>
    </w:rPr>
  </w:style>
  <w:style w:type="paragraph" w:styleId="11">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annotation subject"/>
    <w:basedOn w:val="8"/>
    <w:next w:val="8"/>
    <w:link w:val="29"/>
    <w:autoRedefine/>
    <w:semiHidden/>
    <w:unhideWhenUsed/>
    <w:qFormat/>
    <w:uiPriority w:val="99"/>
    <w:rPr>
      <w:b/>
      <w:bCs/>
    </w:rPr>
  </w:style>
  <w:style w:type="table" w:styleId="16">
    <w:name w:val="Table Grid"/>
    <w:basedOn w:val="15"/>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autoRedefine/>
    <w:qFormat/>
    <w:uiPriority w:val="99"/>
    <w:rPr>
      <w:color w:val="0000FF"/>
      <w:u w:val="single"/>
    </w:rPr>
  </w:style>
  <w:style w:type="character" w:styleId="19">
    <w:name w:val="annotation reference"/>
    <w:basedOn w:val="17"/>
    <w:autoRedefine/>
    <w:qFormat/>
    <w:uiPriority w:val="0"/>
    <w:rPr>
      <w:sz w:val="21"/>
      <w:szCs w:val="21"/>
    </w:rPr>
  </w:style>
  <w:style w:type="character" w:customStyle="1" w:styleId="20">
    <w:name w:val="页眉 字符"/>
    <w:basedOn w:val="17"/>
    <w:link w:val="11"/>
    <w:autoRedefine/>
    <w:qFormat/>
    <w:uiPriority w:val="99"/>
    <w:rPr>
      <w:sz w:val="18"/>
      <w:szCs w:val="18"/>
    </w:rPr>
  </w:style>
  <w:style w:type="character" w:customStyle="1" w:styleId="21">
    <w:name w:val="页脚 字符"/>
    <w:basedOn w:val="17"/>
    <w:link w:val="10"/>
    <w:autoRedefine/>
    <w:qFormat/>
    <w:uiPriority w:val="99"/>
    <w:rPr>
      <w:sz w:val="18"/>
      <w:szCs w:val="18"/>
    </w:rPr>
  </w:style>
  <w:style w:type="paragraph" w:customStyle="1" w:styleId="22">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3">
    <w:name w:val="TF"/>
    <w:basedOn w:val="22"/>
    <w:autoRedefine/>
    <w:qFormat/>
    <w:uiPriority w:val="0"/>
    <w:pPr>
      <w:keepNext w:val="0"/>
      <w:spacing w:before="0" w:after="240"/>
    </w:pPr>
  </w:style>
  <w:style w:type="paragraph" w:styleId="24">
    <w:name w:val="List Paragraph"/>
    <w:basedOn w:val="1"/>
    <w:autoRedefine/>
    <w:qFormat/>
    <w:uiPriority w:val="34"/>
    <w:pPr>
      <w:ind w:firstLine="420" w:firstLineChars="200"/>
    </w:pPr>
  </w:style>
  <w:style w:type="paragraph" w:customStyle="1" w:styleId="25">
    <w:name w:val="B1"/>
    <w:basedOn w:val="12"/>
    <w:autoRedefine/>
    <w:qFormat/>
    <w:uiPriority w:val="0"/>
  </w:style>
  <w:style w:type="paragraph" w:customStyle="1" w:styleId="26">
    <w:name w:val="Doc-text2"/>
    <w:basedOn w:val="1"/>
    <w:autoRedefine/>
    <w:qFormat/>
    <w:uiPriority w:val="0"/>
    <w:pPr>
      <w:tabs>
        <w:tab w:val="left" w:pos="1622"/>
      </w:tabs>
      <w:ind w:left="1622" w:hanging="363"/>
      <w:jc w:val="left"/>
    </w:pPr>
    <w:rPr>
      <w:rFonts w:eastAsia="MS Mincho"/>
      <w:szCs w:val="24"/>
    </w:r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7"/>
    <w:link w:val="8"/>
    <w:autoRedefine/>
    <w:qFormat/>
    <w:uiPriority w:val="99"/>
    <w:rPr>
      <w:kern w:val="2"/>
      <w:sz w:val="21"/>
      <w:szCs w:val="22"/>
    </w:rPr>
  </w:style>
  <w:style w:type="character" w:customStyle="1" w:styleId="29">
    <w:name w:val="批注主题 字符"/>
    <w:basedOn w:val="28"/>
    <w:link w:val="14"/>
    <w:autoRedefine/>
    <w:semiHidden/>
    <w:qFormat/>
    <w:uiPriority w:val="99"/>
    <w:rPr>
      <w:b/>
      <w:bCs/>
      <w:kern w:val="2"/>
      <w:sz w:val="21"/>
      <w:szCs w:val="22"/>
    </w:rPr>
  </w:style>
  <w:style w:type="character" w:customStyle="1" w:styleId="30">
    <w:name w:val="标题 4 字符"/>
    <w:link w:val="5"/>
    <w:autoRedefine/>
    <w:qFormat/>
    <w:uiPriority w:val="9"/>
    <w:rPr>
      <w:i/>
    </w:rPr>
  </w:style>
  <w:style w:type="paragraph" w:customStyle="1" w:styleId="31">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2">
    <w:name w:val="Comments"/>
    <w:basedOn w:val="1"/>
    <w:autoRedefine/>
    <w:qFormat/>
    <w:uiPriority w:val="0"/>
    <w:rPr>
      <w:i/>
      <w:sz w:val="18"/>
    </w:rPr>
  </w:style>
  <w:style w:type="paragraph" w:customStyle="1" w:styleId="33">
    <w:name w:val="Agreement"/>
    <w:basedOn w:val="1"/>
    <w:next w:val="26"/>
    <w:autoRedefine/>
    <w:qFormat/>
    <w:uiPriority w:val="0"/>
    <w:pPr>
      <w:numPr>
        <w:ilvl w:val="0"/>
        <w:numId w:val="4"/>
      </w:numPr>
      <w:tabs>
        <w:tab w:val="left" w:pos="1619"/>
        <w:tab w:val="clear" w:pos="1352"/>
      </w:tabs>
      <w:spacing w:before="60"/>
      <w:ind w:left="1619"/>
    </w:pPr>
    <w:rPr>
      <w:b/>
    </w:rPr>
  </w:style>
  <w:style w:type="character" w:customStyle="1" w:styleId="34">
    <w:name w:val="ui-provider"/>
    <w:basedOn w:val="17"/>
    <w:autoRedefine/>
    <w:qFormat/>
    <w:uiPriority w:val="0"/>
  </w:style>
  <w:style w:type="paragraph" w:customStyle="1" w:styleId="35">
    <w:name w:val="pf0"/>
    <w:basedOn w:val="1"/>
    <w:autoRedefine/>
    <w:qFormat/>
    <w:uiPriority w:val="0"/>
    <w:pPr>
      <w:spacing w:before="100" w:beforeAutospacing="1" w:after="100" w:afterAutospacing="1"/>
    </w:pPr>
    <w:rPr>
      <w:sz w:val="24"/>
      <w:szCs w:val="24"/>
      <w:lang w:eastAsia="ko-KR"/>
    </w:rPr>
  </w:style>
  <w:style w:type="paragraph" w:customStyle="1" w:styleId="36">
    <w:name w:val="B2"/>
    <w:basedOn w:val="1"/>
    <w:autoRedefine/>
    <w:qFormat/>
    <w:uiPriority w:val="0"/>
    <w:pPr>
      <w:ind w:left="851" w:hanging="284"/>
    </w:pPr>
  </w:style>
  <w:style w:type="paragraph" w:customStyle="1" w:styleId="37">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8">
    <w:name w:val="NO"/>
    <w:basedOn w:val="1"/>
    <w:autoRedefine/>
    <w:qFormat/>
    <w:uiPriority w:val="0"/>
    <w:pPr>
      <w:keepLines/>
      <w:ind w:left="1135" w:hanging="851"/>
    </w:pPr>
  </w:style>
  <w:style w:type="paragraph" w:customStyle="1" w:styleId="3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2418</Words>
  <Characters>13002</Characters>
  <Lines>49</Lines>
  <Paragraphs>13</Paragraphs>
  <TotalTime>151</TotalTime>
  <ScaleCrop>false</ScaleCrop>
  <LinksUpToDate>false</LinksUpToDate>
  <CharactersWithSpaces>15330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2025-03-28T06:10:11Z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146CED62BF894AAC839E3218191D236F_13</vt:lpwstr>
  </property>
  <property fmtid="{D5CDD505-2E9C-101B-9397-08002B2CF9AE}" pid="4" name="KSOTemplateDocerSaveRecord">
    <vt:lpwstr>eyJoZGlkIjoiMzEwNTM5NzYwMDRjMzkwZTVkZjY2ODkwMGIxNGU0OTUiLCJ1c2VySWQiOiI1MDQ0ODU3MTMifQ==</vt:lpwstr>
  </property>
</Properties>
</file>